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3B" w:rsidRDefault="00EB1F56" w:rsidP="00343E3B">
      <w:pPr>
        <w:tabs>
          <w:tab w:val="right" w:pos="9581"/>
        </w:tabs>
        <w:rPr>
          <w:rFonts w:ascii="Arial" w:hAnsi="Arial"/>
        </w:rPr>
      </w:pPr>
      <w:r>
        <w:rPr>
          <w:rFonts w:ascii="Arial" w:hAnsi="Arial"/>
        </w:rPr>
        <w:t>[</w:t>
      </w:r>
      <w:r w:rsidR="00343E3B">
        <w:rPr>
          <w:rFonts w:ascii="Arial" w:hAnsi="Arial"/>
        </w:rPr>
        <w:t>Name, Vorname</w:t>
      </w:r>
      <w:r w:rsidR="005D4EBD">
        <w:rPr>
          <w:rFonts w:ascii="Arial" w:hAnsi="Arial"/>
        </w:rPr>
        <w:t>]</w:t>
      </w:r>
      <w:r w:rsidR="00343E3B">
        <w:rPr>
          <w:rFonts w:ascii="Arial" w:hAnsi="Arial"/>
        </w:rPr>
        <w:tab/>
      </w:r>
      <w:r>
        <w:rPr>
          <w:rFonts w:ascii="Arial" w:hAnsi="Arial"/>
        </w:rPr>
        <w:t>[</w:t>
      </w:r>
      <w:r w:rsidR="00343E3B">
        <w:rPr>
          <w:rFonts w:ascii="Arial" w:hAnsi="Arial"/>
        </w:rPr>
        <w:t>Ort, Datum</w:t>
      </w:r>
      <w:r>
        <w:rPr>
          <w:rFonts w:ascii="Arial" w:hAnsi="Arial"/>
        </w:rPr>
        <w:t>]</w:t>
      </w:r>
    </w:p>
    <w:p w:rsidR="00343E3B" w:rsidRDefault="005D4EBD" w:rsidP="00343E3B">
      <w:pPr>
        <w:rPr>
          <w:rFonts w:ascii="Arial" w:hAnsi="Arial"/>
        </w:rPr>
      </w:pPr>
      <w:r>
        <w:rPr>
          <w:rFonts w:ascii="Arial" w:hAnsi="Arial"/>
        </w:rPr>
        <w:t>[</w:t>
      </w:r>
      <w:r w:rsidR="00343E3B">
        <w:rPr>
          <w:rFonts w:ascii="Arial" w:hAnsi="Arial"/>
        </w:rPr>
        <w:t>Straße</w:t>
      </w:r>
      <w:r>
        <w:rPr>
          <w:rFonts w:ascii="Arial" w:hAnsi="Arial"/>
        </w:rPr>
        <w:t>]</w:t>
      </w:r>
    </w:p>
    <w:p w:rsidR="00343E3B" w:rsidRDefault="005D4EBD" w:rsidP="00343E3B">
      <w:pPr>
        <w:rPr>
          <w:rFonts w:ascii="Arial" w:hAnsi="Arial"/>
        </w:rPr>
      </w:pPr>
      <w:r>
        <w:rPr>
          <w:rFonts w:ascii="Arial" w:hAnsi="Arial"/>
        </w:rPr>
        <w:t>[</w:t>
      </w:r>
      <w:r w:rsidR="00343E3B">
        <w:rPr>
          <w:rFonts w:ascii="Arial" w:hAnsi="Arial"/>
        </w:rPr>
        <w:t>PLZ, Ort</w:t>
      </w:r>
      <w:r w:rsidR="00EB1F56">
        <w:rPr>
          <w:rFonts w:ascii="Arial" w:hAnsi="Arial"/>
        </w:rPr>
        <w:t>]</w:t>
      </w:r>
    </w:p>
    <w:p w:rsidR="00343E3B" w:rsidRDefault="00343E3B" w:rsidP="00343E3B">
      <w:pPr>
        <w:rPr>
          <w:rFonts w:ascii="Arial" w:hAnsi="Arial"/>
        </w:rPr>
      </w:pPr>
    </w:p>
    <w:p w:rsidR="00EB1F56" w:rsidRDefault="00EB1F56" w:rsidP="00343E3B">
      <w:pPr>
        <w:rPr>
          <w:rFonts w:ascii="Arial" w:hAnsi="Arial"/>
        </w:rPr>
      </w:pPr>
    </w:p>
    <w:p w:rsidR="00EB1F56" w:rsidRDefault="00EB1F56" w:rsidP="00343E3B">
      <w:pPr>
        <w:rPr>
          <w:rFonts w:ascii="Arial" w:hAnsi="Arial"/>
        </w:rPr>
      </w:pPr>
    </w:p>
    <w:p w:rsidR="00343E3B" w:rsidRDefault="00343E3B" w:rsidP="00343E3B">
      <w:pPr>
        <w:rPr>
          <w:rFonts w:ascii="Arial" w:hAnsi="Arial"/>
        </w:rPr>
      </w:pPr>
    </w:p>
    <w:p w:rsidR="00343E3B" w:rsidRDefault="00343E3B" w:rsidP="00343E3B">
      <w:pPr>
        <w:spacing w:after="120"/>
        <w:rPr>
          <w:rFonts w:ascii="Arial" w:hAnsi="Arial"/>
        </w:rPr>
      </w:pPr>
      <w:r>
        <w:rPr>
          <w:rFonts w:ascii="Arial" w:hAnsi="Arial"/>
        </w:rPr>
        <w:t>Senat der Freien und Hansestadt Hamburg</w:t>
      </w:r>
    </w:p>
    <w:p w:rsidR="00343E3B" w:rsidRDefault="00343E3B" w:rsidP="00343E3B">
      <w:pPr>
        <w:spacing w:after="120"/>
        <w:rPr>
          <w:rFonts w:ascii="Arial" w:hAnsi="Arial"/>
        </w:rPr>
      </w:pPr>
      <w:r>
        <w:rPr>
          <w:rFonts w:ascii="Arial" w:hAnsi="Arial"/>
        </w:rPr>
        <w:t xml:space="preserve">Personalamt </w:t>
      </w:r>
    </w:p>
    <w:p w:rsidR="00343E3B" w:rsidRDefault="00343E3B" w:rsidP="00343E3B">
      <w:pPr>
        <w:spacing w:after="120"/>
        <w:rPr>
          <w:rFonts w:ascii="Arial" w:hAnsi="Arial"/>
        </w:rPr>
      </w:pPr>
      <w:proofErr w:type="spellStart"/>
      <w:r>
        <w:rPr>
          <w:rFonts w:ascii="Arial" w:hAnsi="Arial"/>
        </w:rPr>
        <w:t>Steckelhörn</w:t>
      </w:r>
      <w:proofErr w:type="spellEnd"/>
      <w:r>
        <w:rPr>
          <w:rFonts w:ascii="Arial" w:hAnsi="Arial"/>
        </w:rPr>
        <w:t xml:space="preserve"> 12</w:t>
      </w:r>
    </w:p>
    <w:p w:rsidR="00343E3B" w:rsidRDefault="00343E3B" w:rsidP="00343E3B">
      <w:pPr>
        <w:rPr>
          <w:rFonts w:ascii="Arial" w:hAnsi="Arial"/>
        </w:rPr>
      </w:pPr>
      <w:r>
        <w:rPr>
          <w:rFonts w:ascii="Arial" w:hAnsi="Arial"/>
        </w:rPr>
        <w:t>20457 Hamburg</w:t>
      </w:r>
    </w:p>
    <w:p w:rsidR="00343E3B" w:rsidRDefault="00343E3B" w:rsidP="00343E3B">
      <w:pPr>
        <w:rPr>
          <w:rFonts w:ascii="Arial" w:hAnsi="Arial"/>
        </w:rPr>
      </w:pPr>
    </w:p>
    <w:p w:rsidR="00343E3B" w:rsidRDefault="00343E3B" w:rsidP="00343E3B">
      <w:pPr>
        <w:spacing w:after="57" w:line="276" w:lineRule="auto"/>
        <w:rPr>
          <w:rFonts w:ascii="Arial" w:hAnsi="Arial"/>
        </w:rPr>
      </w:pPr>
    </w:p>
    <w:p w:rsidR="00343E3B" w:rsidRDefault="00343E3B" w:rsidP="00343E3B">
      <w:pPr>
        <w:spacing w:after="57" w:line="276" w:lineRule="auto"/>
        <w:rPr>
          <w:rFonts w:ascii="Arial" w:hAnsi="Arial"/>
        </w:rPr>
      </w:pPr>
    </w:p>
    <w:p w:rsidR="00343E3B" w:rsidRDefault="00343E3B" w:rsidP="00343E3B">
      <w:pPr>
        <w:spacing w:after="57" w:line="276" w:lineRule="auto"/>
        <w:rPr>
          <w:rFonts w:ascii="Arial" w:hAnsi="Arial"/>
        </w:rPr>
      </w:pPr>
      <w:r>
        <w:rPr>
          <w:rFonts w:ascii="Arial" w:hAnsi="Arial"/>
        </w:rPr>
        <w:t>Personal-Nr.: ………………………………...</w:t>
      </w:r>
    </w:p>
    <w:p w:rsidR="00343E3B" w:rsidRDefault="00343E3B" w:rsidP="00343E3B">
      <w:pPr>
        <w:spacing w:after="57" w:line="276" w:lineRule="auto"/>
        <w:rPr>
          <w:rFonts w:ascii="Arial" w:hAnsi="Arial"/>
        </w:rPr>
      </w:pPr>
      <w:r>
        <w:rPr>
          <w:rFonts w:ascii="Arial" w:hAnsi="Arial"/>
        </w:rPr>
        <w:t>Widerspruch gegen die Besoldung/Versorgung im Jahr 2020 und frühere Jahre</w:t>
      </w:r>
    </w:p>
    <w:p w:rsidR="00343E3B" w:rsidRDefault="00343E3B" w:rsidP="00343E3B">
      <w:pPr>
        <w:spacing w:after="57" w:line="276" w:lineRule="auto"/>
        <w:rPr>
          <w:rFonts w:ascii="Arial" w:hAnsi="Arial"/>
        </w:rPr>
      </w:pPr>
    </w:p>
    <w:p w:rsidR="00343E3B" w:rsidRDefault="00343E3B" w:rsidP="00343E3B">
      <w:pPr>
        <w:spacing w:after="120" w:line="276" w:lineRule="auto"/>
        <w:rPr>
          <w:rFonts w:ascii="Arial" w:hAnsi="Arial"/>
        </w:rPr>
      </w:pPr>
    </w:p>
    <w:p w:rsidR="00343E3B" w:rsidRDefault="00343E3B" w:rsidP="00343E3B">
      <w:pPr>
        <w:spacing w:after="120" w:line="276" w:lineRule="auto"/>
        <w:rPr>
          <w:rFonts w:ascii="Arial" w:hAnsi="Arial"/>
        </w:rPr>
      </w:pPr>
      <w:r>
        <w:rPr>
          <w:rFonts w:ascii="Arial" w:hAnsi="Arial"/>
        </w:rPr>
        <w:t>Sehr geehrte Damen und Herren,</w:t>
      </w:r>
    </w:p>
    <w:p w:rsidR="00343E3B" w:rsidRDefault="00343E3B" w:rsidP="00343E3B">
      <w:pPr>
        <w:spacing w:after="120" w:line="276" w:lineRule="auto"/>
        <w:rPr>
          <w:rFonts w:ascii="Arial" w:hAnsi="Arial"/>
        </w:rPr>
      </w:pPr>
    </w:p>
    <w:p w:rsidR="00343E3B" w:rsidRDefault="00343E3B" w:rsidP="00343E3B">
      <w:pPr>
        <w:spacing w:after="120" w:line="276" w:lineRule="auto"/>
        <w:rPr>
          <w:rFonts w:ascii="Arial" w:hAnsi="Arial"/>
        </w:rPr>
      </w:pPr>
      <w:r>
        <w:rPr>
          <w:rFonts w:ascii="Arial" w:hAnsi="Arial"/>
        </w:rPr>
        <w:t>hiermit lege ich</w:t>
      </w:r>
    </w:p>
    <w:p w:rsidR="00343E3B" w:rsidRDefault="00343E3B" w:rsidP="00343E3B">
      <w:pPr>
        <w:spacing w:after="120" w:line="276" w:lineRule="auto"/>
        <w:jc w:val="center"/>
        <w:rPr>
          <w:rFonts w:ascii="Arial" w:hAnsi="Arial"/>
        </w:rPr>
      </w:pPr>
      <w:r>
        <w:rPr>
          <w:rFonts w:ascii="Arial" w:hAnsi="Arial"/>
        </w:rPr>
        <w:t>Widerspruch</w:t>
      </w:r>
    </w:p>
    <w:p w:rsidR="00343E3B" w:rsidRDefault="00343E3B" w:rsidP="00343E3B">
      <w:pPr>
        <w:spacing w:after="120" w:line="276" w:lineRule="auto"/>
        <w:rPr>
          <w:rFonts w:ascii="Arial" w:hAnsi="Arial"/>
        </w:rPr>
      </w:pPr>
    </w:p>
    <w:p w:rsidR="00343E3B" w:rsidRDefault="00343E3B" w:rsidP="00343E3B">
      <w:pPr>
        <w:spacing w:after="120" w:line="276" w:lineRule="auto"/>
        <w:rPr>
          <w:rFonts w:ascii="Arial" w:hAnsi="Arial"/>
        </w:rPr>
      </w:pPr>
      <w:r>
        <w:rPr>
          <w:rFonts w:ascii="Arial" w:hAnsi="Arial"/>
        </w:rPr>
        <w:t>gegen den Ablehnungsbescheid vom ……………</w:t>
      </w:r>
      <w:proofErr w:type="gramStart"/>
      <w:r>
        <w:rPr>
          <w:rFonts w:ascii="Arial" w:hAnsi="Arial"/>
        </w:rPr>
        <w:t>…….</w:t>
      </w:r>
      <w:proofErr w:type="gramEnd"/>
      <w:r>
        <w:rPr>
          <w:rFonts w:ascii="Arial" w:hAnsi="Arial"/>
        </w:rPr>
        <w:t>ein und</w:t>
      </w:r>
    </w:p>
    <w:p w:rsidR="00343E3B" w:rsidRDefault="00343E3B" w:rsidP="00343E3B">
      <w:pPr>
        <w:spacing w:after="120" w:line="276" w:lineRule="auto"/>
        <w:rPr>
          <w:rFonts w:ascii="Arial" w:hAnsi="Arial"/>
        </w:rPr>
      </w:pPr>
    </w:p>
    <w:p w:rsidR="00343E3B" w:rsidRDefault="00343E3B" w:rsidP="00343E3B">
      <w:pPr>
        <w:spacing w:after="120" w:line="276" w:lineRule="auto"/>
        <w:rPr>
          <w:rFonts w:ascii="Arial" w:hAnsi="Arial"/>
        </w:rPr>
      </w:pPr>
      <w:r>
        <w:rPr>
          <w:rFonts w:ascii="Arial" w:hAnsi="Arial"/>
        </w:rPr>
        <w:t>beantrage</w:t>
      </w:r>
    </w:p>
    <w:p w:rsidR="00343E3B" w:rsidRDefault="00343E3B" w:rsidP="00343E3B">
      <w:pPr>
        <w:spacing w:after="120" w:line="276" w:lineRule="auto"/>
        <w:rPr>
          <w:rFonts w:ascii="Arial" w:hAnsi="Arial"/>
        </w:rPr>
      </w:pPr>
    </w:p>
    <w:p w:rsidR="00343E3B" w:rsidRDefault="00343E3B" w:rsidP="00343E3B">
      <w:pPr>
        <w:spacing w:after="120" w:line="276" w:lineRule="auto"/>
        <w:jc w:val="center"/>
        <w:rPr>
          <w:rFonts w:ascii="Arial" w:hAnsi="Arial"/>
        </w:rPr>
      </w:pPr>
      <w:r>
        <w:rPr>
          <w:rFonts w:ascii="Arial" w:hAnsi="Arial"/>
        </w:rPr>
        <w:t>die Aussetzung bzw. das Ruhen des Widerspruchsverfahrens.</w:t>
      </w:r>
    </w:p>
    <w:p w:rsidR="005D4EBD" w:rsidRDefault="005D4EBD" w:rsidP="00343E3B">
      <w:pPr>
        <w:spacing w:after="120" w:line="276" w:lineRule="auto"/>
        <w:jc w:val="center"/>
        <w:rPr>
          <w:rFonts w:ascii="Arial" w:hAnsi="Arial"/>
        </w:rPr>
      </w:pPr>
    </w:p>
    <w:p w:rsidR="00343E3B" w:rsidRDefault="00343E3B" w:rsidP="00343E3B">
      <w:pPr>
        <w:spacing w:after="120" w:line="360" w:lineRule="auto"/>
        <w:jc w:val="both"/>
        <w:rPr>
          <w:rFonts w:ascii="Arial" w:hAnsi="Arial"/>
        </w:rPr>
      </w:pPr>
      <w:r>
        <w:rPr>
          <w:rFonts w:ascii="Arial" w:hAnsi="Arial"/>
        </w:rPr>
        <w:t>Begründung:</w:t>
      </w:r>
    </w:p>
    <w:p w:rsidR="00343E3B" w:rsidRDefault="00343E3B" w:rsidP="00343E3B">
      <w:pPr>
        <w:spacing w:after="120" w:line="360" w:lineRule="auto"/>
        <w:jc w:val="both"/>
        <w:rPr>
          <w:rFonts w:ascii="Arial" w:hAnsi="Arial"/>
        </w:rPr>
      </w:pPr>
    </w:p>
    <w:p w:rsidR="00343E3B" w:rsidRDefault="00343E3B" w:rsidP="00343E3B">
      <w:pPr>
        <w:spacing w:after="120" w:line="360" w:lineRule="auto"/>
        <w:jc w:val="both"/>
        <w:rPr>
          <w:rFonts w:ascii="Arial" w:hAnsi="Arial"/>
        </w:rPr>
      </w:pPr>
      <w:r>
        <w:rPr>
          <w:rFonts w:ascii="Arial" w:hAnsi="Arial"/>
        </w:rPr>
        <w:t xml:space="preserve">1. </w:t>
      </w:r>
      <w:r w:rsidR="00EB2037">
        <w:rPr>
          <w:rFonts w:ascii="Arial" w:hAnsi="Arial"/>
        </w:rPr>
        <w:br/>
      </w:r>
      <w:r>
        <w:rPr>
          <w:rFonts w:ascii="Arial" w:hAnsi="Arial"/>
        </w:rPr>
        <w:t xml:space="preserve">Ich nehme Bezug auf meine bisherige Begründung und halte an meiner Auffassung, dass die Alimentation/Versorgung der Richterinnen und Richter, Staatsanwältinnen und Staatsanwälten in den Streitjahren verfassungswidrig zu niedrig bemessen ist, fest. </w:t>
      </w:r>
    </w:p>
    <w:p w:rsidR="00343E3B" w:rsidRPr="003850D1" w:rsidRDefault="00343E3B" w:rsidP="00343E3B">
      <w:pPr>
        <w:spacing w:after="120" w:line="360" w:lineRule="auto"/>
        <w:jc w:val="both"/>
        <w:rPr>
          <w:rFonts w:ascii="Arial" w:hAnsi="Arial"/>
        </w:rPr>
      </w:pPr>
      <w:r w:rsidRPr="00863E13">
        <w:rPr>
          <w:rFonts w:ascii="Arial" w:hAnsi="Arial" w:hint="eastAsia"/>
        </w:rPr>
        <w:lastRenderedPageBreak/>
        <w:t xml:space="preserve">Das </w:t>
      </w:r>
      <w:r w:rsidRPr="00863E13">
        <w:rPr>
          <w:rFonts w:ascii="Arial" w:hAnsi="Arial"/>
        </w:rPr>
        <w:t>Bundesverfassungsgericht hat für die Vergleichsbetrachtung auf die der ständigen Alimentationsrechtsprechung zugrundeliegenden Kriterien zurückgegriffen und ein indizielles Prüfsystem anhand volkswirtschaftlich nachvollziehbarer Parameter entwickelt</w:t>
      </w:r>
      <w:r w:rsidR="005C4EB7">
        <w:rPr>
          <w:rFonts w:ascii="Arial" w:hAnsi="Arial"/>
        </w:rPr>
        <w:t>.</w:t>
      </w:r>
      <w:bookmarkStart w:id="0" w:name="_GoBack"/>
      <w:bookmarkEnd w:id="0"/>
      <w:r w:rsidRPr="00863E13">
        <w:rPr>
          <w:rFonts w:ascii="Arial" w:hAnsi="Arial"/>
        </w:rPr>
        <w:t xml:space="preserve"> Im Rahmen dieses Systems ist die Differenz zwischen der Besoldungsentwicklung und der Dynamik der Tarifergebnisse der Angestellten im öffentlichen Dienst (1. Parameter), des Nominallohnindex (2. Parameter) und des Verbraucherpreisindex (3. Parameter) zu untersuchen und es sind ein systeminterner Besoldungsvergleich (4. Parameter) und ein Quervergleich mit der Besoldung des Bundes und/oder anderer Län</w:t>
      </w:r>
      <w:r>
        <w:rPr>
          <w:rFonts w:ascii="Arial" w:hAnsi="Arial"/>
        </w:rPr>
        <w:t xml:space="preserve">der (5. </w:t>
      </w:r>
      <w:r w:rsidRPr="003850D1">
        <w:rPr>
          <w:rFonts w:ascii="Arial" w:hAnsi="Arial"/>
        </w:rPr>
        <w:t>Parameter) anzustellen. Ein Parameter ist erfüllt, wenn die Besoldungsentwicklung deutlich hinter</w:t>
      </w:r>
      <w:r>
        <w:rPr>
          <w:rFonts w:ascii="Arial" w:hAnsi="Arial"/>
        </w:rPr>
        <w:t>,</w:t>
      </w:r>
      <w:r w:rsidRPr="003850D1">
        <w:rPr>
          <w:rFonts w:ascii="Arial" w:hAnsi="Arial"/>
        </w:rPr>
        <w:t xml:space="preserve"> dem V</w:t>
      </w:r>
      <w:r>
        <w:rPr>
          <w:rFonts w:ascii="Arial" w:hAnsi="Arial"/>
        </w:rPr>
        <w:t xml:space="preserve">ergleichsparameter zurückbleibt (BVerfG, Beschl. v. 4. Mai 2020, </w:t>
      </w:r>
      <w:r>
        <w:rPr>
          <w:rFonts w:ascii="Arial" w:hAnsi="Arial" w:hint="eastAsia"/>
        </w:rPr>
        <w:t xml:space="preserve">2 </w:t>
      </w:r>
      <w:proofErr w:type="spellStart"/>
      <w:r>
        <w:rPr>
          <w:rFonts w:ascii="Arial" w:hAnsi="Arial" w:hint="eastAsia"/>
        </w:rPr>
        <w:t>BvL</w:t>
      </w:r>
      <w:proofErr w:type="spellEnd"/>
      <w:r>
        <w:rPr>
          <w:rFonts w:ascii="Arial" w:hAnsi="Arial" w:hint="eastAsia"/>
        </w:rPr>
        <w:t xml:space="preserve"> 4/18</w:t>
      </w:r>
      <w:r>
        <w:rPr>
          <w:rFonts w:ascii="Arial" w:hAnsi="Arial"/>
        </w:rPr>
        <w:t xml:space="preserve">, </w:t>
      </w:r>
      <w:proofErr w:type="spellStart"/>
      <w:r>
        <w:rPr>
          <w:rFonts w:ascii="Arial" w:hAnsi="Arial"/>
        </w:rPr>
        <w:t>juris</w:t>
      </w:r>
      <w:proofErr w:type="spellEnd"/>
      <w:r>
        <w:rPr>
          <w:rFonts w:ascii="Arial" w:hAnsi="Arial"/>
        </w:rPr>
        <w:t>,</w:t>
      </w:r>
      <w:r>
        <w:rPr>
          <w:rFonts w:ascii="Arial" w:hAnsi="Arial" w:hint="eastAsia"/>
        </w:rPr>
        <w:t xml:space="preserve"> </w:t>
      </w:r>
      <w:proofErr w:type="spellStart"/>
      <w:r>
        <w:rPr>
          <w:rFonts w:ascii="Arial" w:hAnsi="Arial" w:hint="eastAsia"/>
        </w:rPr>
        <w:t>Rn</w:t>
      </w:r>
      <w:proofErr w:type="spellEnd"/>
      <w:r>
        <w:rPr>
          <w:rFonts w:ascii="Arial" w:hAnsi="Arial" w:hint="eastAsia"/>
        </w:rPr>
        <w:t>. 28 ff.)</w:t>
      </w:r>
      <w:r>
        <w:rPr>
          <w:rFonts w:ascii="Arial" w:hAnsi="Arial"/>
        </w:rPr>
        <w:t>.</w:t>
      </w:r>
    </w:p>
    <w:p w:rsidR="00343E3B" w:rsidRDefault="00343E3B" w:rsidP="00343E3B">
      <w:pPr>
        <w:spacing w:after="120" w:line="360" w:lineRule="auto"/>
        <w:jc w:val="both"/>
        <w:rPr>
          <w:rFonts w:ascii="Arial" w:hAnsi="Arial"/>
        </w:rPr>
      </w:pPr>
      <w:r>
        <w:rPr>
          <w:rFonts w:ascii="Arial" w:hAnsi="Arial" w:hint="eastAsia"/>
        </w:rPr>
        <w:t>D</w:t>
      </w:r>
      <w:r w:rsidRPr="00AA5942">
        <w:rPr>
          <w:rFonts w:ascii="Arial" w:hAnsi="Arial" w:hint="eastAsia"/>
        </w:rPr>
        <w:t xml:space="preserve">as Bundesverfassungsgericht </w:t>
      </w:r>
      <w:r>
        <w:rPr>
          <w:rFonts w:ascii="Arial" w:hAnsi="Arial"/>
        </w:rPr>
        <w:t xml:space="preserve">hat </w:t>
      </w:r>
      <w:r w:rsidRPr="00AA5942">
        <w:rPr>
          <w:rFonts w:ascii="Arial" w:hAnsi="Arial" w:hint="eastAsia"/>
        </w:rPr>
        <w:t>klargest</w:t>
      </w:r>
      <w:r>
        <w:rPr>
          <w:rFonts w:ascii="Arial" w:hAnsi="Arial" w:hint="eastAsia"/>
        </w:rPr>
        <w:t xml:space="preserve">ellt, dass bereits bei </w:t>
      </w:r>
      <w:r w:rsidRPr="00AA5942">
        <w:rPr>
          <w:rFonts w:ascii="Arial" w:hAnsi="Arial"/>
        </w:rPr>
        <w:t>einem erfüllten</w:t>
      </w:r>
      <w:r w:rsidRPr="00AA5942">
        <w:rPr>
          <w:rFonts w:ascii="Arial" w:hAnsi="Arial" w:hint="eastAsia"/>
        </w:rPr>
        <w:t xml:space="preserve"> Parameter der ersten</w:t>
      </w:r>
      <w:r w:rsidRPr="00AA5942">
        <w:rPr>
          <w:rFonts w:ascii="Arial" w:hAnsi="Arial"/>
        </w:rPr>
        <w:t xml:space="preserve"> Prüfungsstufe</w:t>
      </w:r>
      <w:r w:rsidRPr="00AA5942">
        <w:rPr>
          <w:rFonts w:ascii="Arial" w:hAnsi="Arial" w:hint="eastAsia"/>
        </w:rPr>
        <w:t xml:space="preserve"> die Ergebnisse der ersten Stufe insgesamt zusammen mit den auf der zweiten Stufe ausgewerteten alimentationsrelevanten Kriterien im Rahmen einer Gesam</w:t>
      </w:r>
      <w:r w:rsidRPr="00AA5942">
        <w:rPr>
          <w:rFonts w:ascii="Arial" w:hAnsi="Arial"/>
        </w:rPr>
        <w:t>twürdigung</w:t>
      </w:r>
      <w:r w:rsidRPr="00AA5942">
        <w:rPr>
          <w:rFonts w:ascii="Arial" w:hAnsi="Arial" w:hint="eastAsia"/>
        </w:rPr>
        <w:t xml:space="preserve"> eingehend zu</w:t>
      </w:r>
      <w:r w:rsidRPr="00AA5942">
        <w:rPr>
          <w:rFonts w:ascii="Arial" w:hAnsi="Arial"/>
        </w:rPr>
        <w:t xml:space="preserve"> würdigen</w:t>
      </w:r>
      <w:r w:rsidRPr="00AA5942">
        <w:rPr>
          <w:rFonts w:ascii="Arial" w:hAnsi="Arial" w:hint="eastAsia"/>
        </w:rPr>
        <w:t xml:space="preserve"> sind (</w:t>
      </w:r>
      <w:r w:rsidRPr="00BB66FB">
        <w:rPr>
          <w:rFonts w:ascii="Arial" w:hAnsi="Arial" w:hint="eastAsia"/>
        </w:rPr>
        <w:t xml:space="preserve">BVerfG, Beschl. v. 4. Mai 2020, </w:t>
      </w:r>
      <w:r w:rsidRPr="00AA5942">
        <w:rPr>
          <w:rFonts w:ascii="Arial" w:hAnsi="Arial" w:hint="eastAsia"/>
        </w:rPr>
        <w:t xml:space="preserve">2 </w:t>
      </w:r>
      <w:proofErr w:type="spellStart"/>
      <w:r w:rsidRPr="00AA5942">
        <w:rPr>
          <w:rFonts w:ascii="Arial" w:hAnsi="Arial" w:hint="eastAsia"/>
        </w:rPr>
        <w:t>BvL</w:t>
      </w:r>
      <w:proofErr w:type="spellEnd"/>
      <w:r w:rsidRPr="00AA5942">
        <w:rPr>
          <w:rFonts w:ascii="Arial" w:hAnsi="Arial" w:hint="eastAsia"/>
        </w:rPr>
        <w:t xml:space="preserve"> 4/18</w:t>
      </w:r>
      <w:r>
        <w:rPr>
          <w:rFonts w:ascii="Arial" w:hAnsi="Arial"/>
        </w:rPr>
        <w:t xml:space="preserve">, </w:t>
      </w:r>
      <w:proofErr w:type="spellStart"/>
      <w:r>
        <w:rPr>
          <w:rFonts w:ascii="Arial" w:hAnsi="Arial"/>
        </w:rPr>
        <w:t>juris</w:t>
      </w:r>
      <w:proofErr w:type="spellEnd"/>
      <w:r>
        <w:rPr>
          <w:rFonts w:ascii="Arial" w:hAnsi="Arial"/>
        </w:rPr>
        <w:t>,</w:t>
      </w:r>
      <w:r w:rsidRPr="00AA5942">
        <w:rPr>
          <w:rFonts w:ascii="Arial" w:hAnsi="Arial" w:hint="eastAsia"/>
        </w:rPr>
        <w:t xml:space="preserve"> </w:t>
      </w:r>
      <w:proofErr w:type="spellStart"/>
      <w:r w:rsidRPr="00AA5942">
        <w:rPr>
          <w:rFonts w:ascii="Arial" w:hAnsi="Arial" w:hint="eastAsia"/>
        </w:rPr>
        <w:t>Rn</w:t>
      </w:r>
      <w:proofErr w:type="spellEnd"/>
      <w:r w:rsidRPr="00AA5942">
        <w:rPr>
          <w:rFonts w:ascii="Arial" w:hAnsi="Arial" w:hint="eastAsia"/>
        </w:rPr>
        <w:t>. 85</w:t>
      </w:r>
      <w:r>
        <w:rPr>
          <w:rFonts w:ascii="Arial" w:hAnsi="Arial"/>
        </w:rPr>
        <w:t>). Hier sind indes jedenfalls der 2. und der 4. Parameter erfüllt</w:t>
      </w:r>
    </w:p>
    <w:p w:rsidR="00343E3B" w:rsidRDefault="00343E3B" w:rsidP="00343E3B">
      <w:pPr>
        <w:spacing w:after="120" w:line="360" w:lineRule="auto"/>
        <w:jc w:val="both"/>
        <w:rPr>
          <w:rFonts w:ascii="Arial" w:hAnsi="Arial"/>
        </w:rPr>
      </w:pPr>
      <w:r w:rsidRPr="00D92DDE">
        <w:rPr>
          <w:rFonts w:ascii="Arial" w:hAnsi="Arial" w:hint="eastAsia"/>
        </w:rPr>
        <w:t xml:space="preserve">Die Entwicklung der R-Besoldung weicht deutlich von der Entwicklung des Nominallohnindex </w:t>
      </w:r>
      <w:r>
        <w:rPr>
          <w:rFonts w:ascii="Arial" w:hAnsi="Arial"/>
        </w:rPr>
        <w:t xml:space="preserve">(2. Parameter) </w:t>
      </w:r>
      <w:r w:rsidRPr="00D92DDE">
        <w:rPr>
          <w:rFonts w:ascii="Arial" w:hAnsi="Arial" w:hint="eastAsia"/>
        </w:rPr>
        <w:t>ab</w:t>
      </w:r>
      <w:r>
        <w:rPr>
          <w:rFonts w:ascii="Arial" w:hAnsi="Arial"/>
        </w:rPr>
        <w:t>.</w:t>
      </w:r>
      <w:r w:rsidRPr="00D92DDE">
        <w:rPr>
          <w:rFonts w:ascii="Arial" w:hAnsi="Arial" w:hint="eastAsia"/>
        </w:rPr>
        <w:t xml:space="preserve"> Die vom BVerfG in </w:t>
      </w:r>
      <w:r w:rsidRPr="00D92DDE">
        <w:rPr>
          <w:rFonts w:ascii="Arial" w:hAnsi="Arial"/>
        </w:rPr>
        <w:t>den Raum gestellte Abweichung v</w:t>
      </w:r>
      <w:r>
        <w:rPr>
          <w:rFonts w:ascii="Arial" w:hAnsi="Arial"/>
        </w:rPr>
        <w:t>on 5% als Indiz für eine verfas</w:t>
      </w:r>
      <w:r w:rsidRPr="00D92DDE">
        <w:rPr>
          <w:rFonts w:ascii="Arial" w:hAnsi="Arial"/>
        </w:rPr>
        <w:t xml:space="preserve">sungswidrige Alimentation wird </w:t>
      </w:r>
      <w:r>
        <w:rPr>
          <w:rFonts w:ascii="Arial" w:hAnsi="Arial"/>
        </w:rPr>
        <w:t>schon nach der</w:t>
      </w:r>
      <w:r w:rsidRPr="00D92DDE">
        <w:rPr>
          <w:rFonts w:ascii="Arial" w:hAnsi="Arial"/>
        </w:rPr>
        <w:t xml:space="preserve"> Darstellung der Ausgan</w:t>
      </w:r>
      <w:r>
        <w:rPr>
          <w:rFonts w:ascii="Arial" w:hAnsi="Arial"/>
        </w:rPr>
        <w:t>gslage in der Gesetzes</w:t>
      </w:r>
      <w:r w:rsidRPr="00D92DDE">
        <w:rPr>
          <w:rFonts w:ascii="Arial" w:hAnsi="Arial"/>
        </w:rPr>
        <w:t>begründung</w:t>
      </w:r>
      <w:r>
        <w:rPr>
          <w:rFonts w:ascii="Arial" w:hAnsi="Arial"/>
        </w:rPr>
        <w:t xml:space="preserve"> zum </w:t>
      </w:r>
      <w:r w:rsidRPr="00D92DDE">
        <w:rPr>
          <w:rFonts w:ascii="Arial" w:hAnsi="Arial" w:hint="eastAsia"/>
        </w:rPr>
        <w:t>Entwu</w:t>
      </w:r>
      <w:r>
        <w:rPr>
          <w:rFonts w:ascii="Arial" w:hAnsi="Arial" w:hint="eastAsia"/>
        </w:rPr>
        <w:t>rf eines Hamburgischen Gesetzes</w:t>
      </w:r>
      <w:r>
        <w:rPr>
          <w:rFonts w:ascii="Arial" w:hAnsi="Arial"/>
        </w:rPr>
        <w:t xml:space="preserve"> </w:t>
      </w:r>
      <w:r w:rsidRPr="00D92DDE">
        <w:rPr>
          <w:rFonts w:ascii="Arial" w:hAnsi="Arial" w:hint="eastAsia"/>
        </w:rPr>
        <w:t xml:space="preserve">zur Besoldungs- </w:t>
      </w:r>
      <w:r>
        <w:rPr>
          <w:rFonts w:ascii="Arial" w:hAnsi="Arial" w:hint="eastAsia"/>
        </w:rPr>
        <w:t>und Beamtenversorgungs</w:t>
      </w:r>
      <w:r w:rsidR="006577BB">
        <w:rPr>
          <w:rFonts w:ascii="Arial" w:hAnsi="Arial"/>
        </w:rPr>
        <w:softHyphen/>
      </w:r>
      <w:r>
        <w:rPr>
          <w:rFonts w:ascii="Arial" w:hAnsi="Arial" w:hint="eastAsia"/>
        </w:rPr>
        <w:t>anpassung</w:t>
      </w:r>
      <w:r>
        <w:rPr>
          <w:rFonts w:ascii="Arial" w:hAnsi="Arial"/>
        </w:rPr>
        <w:t xml:space="preserve"> </w:t>
      </w:r>
      <w:r w:rsidRPr="00D92DDE">
        <w:rPr>
          <w:rFonts w:ascii="Arial" w:hAnsi="Arial" w:hint="eastAsia"/>
        </w:rPr>
        <w:t>2019/2020/2021</w:t>
      </w:r>
      <w:r w:rsidRPr="00D92DDE">
        <w:rPr>
          <w:rFonts w:ascii="Arial" w:hAnsi="Arial"/>
        </w:rPr>
        <w:t xml:space="preserve"> für die R-Besoldung mit 14,1% bis 15,1% deutlich erfüllt (</w:t>
      </w:r>
      <w:proofErr w:type="spellStart"/>
      <w:r>
        <w:rPr>
          <w:rFonts w:ascii="Arial" w:hAnsi="Arial"/>
        </w:rPr>
        <w:t>Drs</w:t>
      </w:r>
      <w:proofErr w:type="spellEnd"/>
      <w:r>
        <w:rPr>
          <w:rFonts w:ascii="Arial" w:hAnsi="Arial"/>
        </w:rPr>
        <w:t xml:space="preserve">. 21/17902, </w:t>
      </w:r>
      <w:r w:rsidRPr="00D92DDE">
        <w:rPr>
          <w:rFonts w:ascii="Arial" w:hAnsi="Arial"/>
        </w:rPr>
        <w:t>Anlage B 2 der Gesetzesbegründung)</w:t>
      </w:r>
      <w:r>
        <w:rPr>
          <w:rFonts w:ascii="Arial" w:hAnsi="Arial"/>
        </w:rPr>
        <w:t xml:space="preserve">. </w:t>
      </w:r>
    </w:p>
    <w:p w:rsidR="00343E3B" w:rsidRDefault="00343E3B" w:rsidP="00343E3B">
      <w:pPr>
        <w:spacing w:after="120" w:line="360" w:lineRule="auto"/>
        <w:jc w:val="both"/>
        <w:rPr>
          <w:rFonts w:ascii="Arial" w:hAnsi="Arial"/>
        </w:rPr>
      </w:pPr>
      <w:r>
        <w:rPr>
          <w:rFonts w:ascii="Arial" w:hAnsi="Arial" w:hint="eastAsia"/>
        </w:rPr>
        <w:t>Der 4.</w:t>
      </w:r>
      <w:r w:rsidRPr="004E5948">
        <w:rPr>
          <w:rFonts w:ascii="Arial" w:hAnsi="Arial" w:hint="eastAsia"/>
        </w:rPr>
        <w:t xml:space="preserve"> Parameter ist in der Variante der Unterschreitung </w:t>
      </w:r>
      <w:r w:rsidRPr="004E5948">
        <w:rPr>
          <w:rFonts w:ascii="Arial" w:hAnsi="Arial"/>
        </w:rPr>
        <w:t>des Mindestabstands zum Grundsicherungsniveau im gesamten Betrachtungszeitraum erfüllt.</w:t>
      </w:r>
      <w:r>
        <w:rPr>
          <w:rFonts w:ascii="Arial" w:hAnsi="Arial"/>
        </w:rPr>
        <w:t xml:space="preserve"> </w:t>
      </w:r>
      <w:r w:rsidRPr="004E5948">
        <w:rPr>
          <w:rFonts w:ascii="Arial" w:hAnsi="Arial"/>
        </w:rPr>
        <w:t>Der 4. Parameter ergibt sich aus einem systeminternen Besoldungsvergleich,</w:t>
      </w:r>
      <w:r w:rsidRPr="00864A89">
        <w:rPr>
          <w:rFonts w:ascii="Arial" w:hAnsi="Arial"/>
        </w:rPr>
        <w:t xml:space="preserve"> dessen Ergebnis in zweifacher Hinsicht indizielle Bedeutung dafür haben kann, dass die Besoldung hinter den Vorgaben des Alimentationsprinzips zurückbleibt</w:t>
      </w:r>
      <w:r>
        <w:rPr>
          <w:rFonts w:ascii="Arial" w:hAnsi="Arial"/>
        </w:rPr>
        <w:t xml:space="preserve">. </w:t>
      </w:r>
      <w:r w:rsidRPr="004E5948">
        <w:rPr>
          <w:rFonts w:ascii="Arial" w:hAnsi="Arial" w:hint="eastAsia"/>
        </w:rPr>
        <w:t xml:space="preserve">Im ersten Fall ergibt sich die indizielle Bedeutung aus dem Umstand, dass es infolge unterschiedlich hoher linearer oder zeitlich verzögerter Besoldungsanpassungen zu einer deutlichen Verringerung der </w:t>
      </w:r>
      <w:r w:rsidRPr="004E5948">
        <w:rPr>
          <w:rFonts w:ascii="Arial" w:hAnsi="Arial"/>
        </w:rPr>
        <w:t xml:space="preserve">Abstände zwischen zwei zu vergleichenden Besoldungsgruppen kommt. Ein im Rahmen der Gesamtabwägung zu gewichtendes Indiz für eine unzureichende </w:t>
      </w:r>
      <w:r w:rsidRPr="004E5948">
        <w:rPr>
          <w:rFonts w:ascii="Arial" w:hAnsi="Arial"/>
        </w:rPr>
        <w:lastRenderedPageBreak/>
        <w:t>Alimentation liegt vor, wenn die Abstände um mindestens 10 % in den zurückliegenden fünf Jahren verringert wurden</w:t>
      </w:r>
      <w:r>
        <w:rPr>
          <w:rFonts w:ascii="Arial" w:hAnsi="Arial"/>
        </w:rPr>
        <w:t xml:space="preserve">. </w:t>
      </w:r>
      <w:r w:rsidRPr="004E5948">
        <w:rPr>
          <w:rFonts w:ascii="Arial" w:hAnsi="Arial"/>
        </w:rPr>
        <w:t>Im zweiten Fall folgt die indizielle Bedeutung aus der Missachtung des gebotenen Mindestabstands zum Grundsicherungsniveau in der untersten Besoldungsgruppe.</w:t>
      </w:r>
      <w:r>
        <w:rPr>
          <w:rFonts w:ascii="Arial" w:hAnsi="Arial"/>
        </w:rPr>
        <w:t xml:space="preserve"> </w:t>
      </w:r>
      <w:r w:rsidRPr="004E5948">
        <w:rPr>
          <w:rFonts w:ascii="Arial" w:hAnsi="Arial"/>
        </w:rPr>
        <w:t xml:space="preserve">Dieser Mindestabstand wird unterschritten, wenn die Nettoalimentation (unter Berücksichtigung der familienbezogenen </w:t>
      </w:r>
      <w:proofErr w:type="spellStart"/>
      <w:r w:rsidRPr="004E5948">
        <w:rPr>
          <w:rFonts w:ascii="Arial" w:hAnsi="Arial"/>
        </w:rPr>
        <w:t>Bezügebestandteile</w:t>
      </w:r>
      <w:proofErr w:type="spellEnd"/>
      <w:r w:rsidRPr="004E5948">
        <w:rPr>
          <w:rFonts w:ascii="Arial" w:hAnsi="Arial"/>
        </w:rPr>
        <w:t xml:space="preserve"> und des Kindergelds) um weniger als 15 % über dem Grundsicherungsniveau liegt</w:t>
      </w:r>
      <w:r w:rsidRPr="00864A89">
        <w:rPr>
          <w:rFonts w:ascii="Arial" w:hAnsi="Arial"/>
        </w:rPr>
        <w:t>.</w:t>
      </w:r>
      <w:r>
        <w:rPr>
          <w:rFonts w:ascii="Arial" w:hAnsi="Arial"/>
        </w:rPr>
        <w:t xml:space="preserve"> </w:t>
      </w:r>
      <w:r w:rsidRPr="00864A89">
        <w:rPr>
          <w:rFonts w:ascii="Arial" w:hAnsi="Arial"/>
        </w:rPr>
        <w:t>In den Jahren 2013 bis 2020 wurde bei Betrachtung einer vierköpfigen</w:t>
      </w:r>
      <w:r w:rsidRPr="00B00B0A">
        <w:rPr>
          <w:rFonts w:ascii="Arial" w:hAnsi="Arial"/>
        </w:rPr>
        <w:t xml:space="preserve"> Musterfamilie der gebotene Abstand zum Grundsicherungsniveau durchgehend für die jeweils unterste Besoldungsgruppe bei weitem unterschritten. Dies ergibt sich daraus, dass die Jahresnettoalimentation in der niedrigsten Bes</w:t>
      </w:r>
      <w:r>
        <w:rPr>
          <w:rFonts w:ascii="Arial" w:hAnsi="Arial"/>
        </w:rPr>
        <w:t>oldungsgruppe</w:t>
      </w:r>
      <w:r w:rsidRPr="00B00B0A">
        <w:rPr>
          <w:rFonts w:ascii="Arial" w:hAnsi="Arial"/>
        </w:rPr>
        <w:t xml:space="preserve"> den Gru</w:t>
      </w:r>
      <w:r>
        <w:rPr>
          <w:rFonts w:ascii="Arial" w:hAnsi="Arial"/>
        </w:rPr>
        <w:t>ndsicherungs</w:t>
      </w:r>
      <w:r w:rsidR="006577BB">
        <w:rPr>
          <w:rFonts w:ascii="Arial" w:hAnsi="Arial"/>
        </w:rPr>
        <w:softHyphen/>
      </w:r>
      <w:r>
        <w:rPr>
          <w:rFonts w:ascii="Arial" w:hAnsi="Arial"/>
        </w:rPr>
        <w:t xml:space="preserve">bedarf </w:t>
      </w:r>
      <w:r w:rsidRPr="00B00B0A">
        <w:rPr>
          <w:rFonts w:ascii="Arial" w:hAnsi="Arial"/>
        </w:rPr>
        <w:t xml:space="preserve">in allen verfahrensgegenständlichen Jahren nicht nur nicht um 15 % übersteigt, sondern sogar hinter diesem </w:t>
      </w:r>
      <w:r>
        <w:rPr>
          <w:rFonts w:ascii="Arial" w:hAnsi="Arial"/>
        </w:rPr>
        <w:t xml:space="preserve">zurückbleibt (hierzu ausführlich für die Streitjahre 2013 bis 2019: VG Hamburg, Beschl. v. 29. September 2020, 20 K 7517/17, </w:t>
      </w:r>
      <w:proofErr w:type="spellStart"/>
      <w:r>
        <w:rPr>
          <w:rFonts w:ascii="Arial" w:hAnsi="Arial"/>
        </w:rPr>
        <w:t>juris</w:t>
      </w:r>
      <w:proofErr w:type="spellEnd"/>
      <w:r>
        <w:rPr>
          <w:rFonts w:ascii="Arial" w:hAnsi="Arial"/>
        </w:rPr>
        <w:t xml:space="preserve">, </w:t>
      </w:r>
      <w:proofErr w:type="spellStart"/>
      <w:r>
        <w:rPr>
          <w:rFonts w:ascii="Arial" w:hAnsi="Arial"/>
        </w:rPr>
        <w:t>Rn</w:t>
      </w:r>
      <w:proofErr w:type="spellEnd"/>
      <w:r>
        <w:rPr>
          <w:rFonts w:ascii="Arial" w:hAnsi="Arial"/>
        </w:rPr>
        <w:t>. 69 ff). Entsprechendes gilt für das Jahr 2020.</w:t>
      </w:r>
    </w:p>
    <w:p w:rsidR="00343E3B" w:rsidRPr="00A449F8" w:rsidRDefault="00343E3B" w:rsidP="00343E3B">
      <w:pPr>
        <w:spacing w:after="120" w:line="360" w:lineRule="auto"/>
        <w:jc w:val="both"/>
        <w:rPr>
          <w:rFonts w:ascii="Arial" w:hAnsi="Arial"/>
        </w:rPr>
      </w:pPr>
    </w:p>
    <w:p w:rsidR="00343E3B" w:rsidRPr="00A449F8" w:rsidRDefault="00343E3B" w:rsidP="00343E3B">
      <w:pPr>
        <w:spacing w:after="120" w:line="360" w:lineRule="auto"/>
        <w:ind w:left="624"/>
        <w:jc w:val="both"/>
        <w:rPr>
          <w:rFonts w:hint="eastAsia"/>
        </w:rPr>
      </w:pPr>
      <w:r>
        <w:rPr>
          <w:rFonts w:ascii="Arial" w:hAnsi="Arial"/>
          <w:noProof/>
          <w:lang w:eastAsia="de-DE" w:bidi="ar-SA"/>
        </w:rPr>
        <mc:AlternateContent>
          <mc:Choice Requires="wps">
            <w:drawing>
              <wp:anchor distT="0" distB="0" distL="114300" distR="114300" simplePos="0" relativeHeight="251659264" behindDoc="0" locked="0" layoutInCell="1" allowOverlap="1" wp14:anchorId="4775937C" wp14:editId="04A7E660">
                <wp:simplePos x="0" y="0"/>
                <wp:positionH relativeFrom="column">
                  <wp:posOffset>78105</wp:posOffset>
                </wp:positionH>
                <wp:positionV relativeFrom="paragraph">
                  <wp:posOffset>42545</wp:posOffset>
                </wp:positionV>
                <wp:extent cx="241300" cy="228600"/>
                <wp:effectExtent l="0" t="0" r="25400" b="19050"/>
                <wp:wrapNone/>
                <wp:docPr id="1" name="Rechteck 1"/>
                <wp:cNvGraphicFramePr/>
                <a:graphic xmlns:a="http://schemas.openxmlformats.org/drawingml/2006/main">
                  <a:graphicData uri="http://schemas.microsoft.com/office/word/2010/wordprocessingShape">
                    <wps:wsp>
                      <wps:cNvSpPr/>
                      <wps:spPr>
                        <a:xfrm>
                          <a:off x="0" y="0"/>
                          <a:ext cx="241300" cy="2286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3C8BD" id="Rechteck 1" o:spid="_x0000_s1026" style="position:absolute;margin-left:6.15pt;margin-top:3.35pt;width:19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" fillcolor="#5b9bd5" strokecolor="#41719c" strokeweight="1pt"/>
            </w:pict>
          </mc:Fallback>
        </mc:AlternateContent>
      </w:r>
      <w:r w:rsidRPr="00A449F8">
        <w:rPr>
          <w:rFonts w:ascii="Arial" w:hAnsi="Arial"/>
        </w:rPr>
        <w:t xml:space="preserve">Ich habe mehr als zwei unterhaltsberechtigte Kinder. </w:t>
      </w:r>
      <w:r>
        <w:rPr>
          <w:rFonts w:ascii="Arial" w:hAnsi="Arial"/>
        </w:rPr>
        <w:t>Es bestehen weiterhin</w:t>
      </w:r>
      <w:r w:rsidRPr="00A449F8">
        <w:rPr>
          <w:rFonts w:ascii="Arial" w:hAnsi="Arial"/>
        </w:rPr>
        <w:t xml:space="preserve"> erhebliche Zweifel daran, ob die Zuschläge für das dritte und jedes weitere Kind den verfassungsrechtlichen Anforderungen entsprechen. Insbesondere verweise ich auf die nach dem Beschluss des Bundesverfassungsgerichts vom 4. Mai 2020 (2 </w:t>
      </w:r>
      <w:proofErr w:type="spellStart"/>
      <w:r w:rsidRPr="00A449F8">
        <w:rPr>
          <w:rFonts w:ascii="Arial" w:hAnsi="Arial"/>
        </w:rPr>
        <w:t>BvL</w:t>
      </w:r>
      <w:proofErr w:type="spellEnd"/>
      <w:r w:rsidRPr="00A449F8">
        <w:rPr>
          <w:rFonts w:ascii="Arial" w:hAnsi="Arial"/>
        </w:rPr>
        <w:t xml:space="preserve"> 6/17) maßgeblichen Kriterien.</w:t>
      </w:r>
    </w:p>
    <w:p w:rsidR="00343E3B" w:rsidRPr="00B00B0A" w:rsidRDefault="00343E3B" w:rsidP="00343E3B">
      <w:pPr>
        <w:spacing w:after="120" w:line="360" w:lineRule="auto"/>
        <w:jc w:val="both"/>
        <w:rPr>
          <w:rFonts w:ascii="Arial" w:hAnsi="Arial"/>
        </w:rPr>
      </w:pPr>
    </w:p>
    <w:p w:rsidR="00343E3B" w:rsidRDefault="00343E3B" w:rsidP="00343E3B">
      <w:pPr>
        <w:spacing w:after="120" w:line="360" w:lineRule="auto"/>
        <w:jc w:val="both"/>
        <w:rPr>
          <w:rFonts w:ascii="Arial" w:hAnsi="Arial"/>
        </w:rPr>
      </w:pPr>
      <w:r>
        <w:rPr>
          <w:rFonts w:ascii="Arial" w:hAnsi="Arial"/>
        </w:rPr>
        <w:t xml:space="preserve">Im Rahmen der daher durchzuführenden Gesamtwürdigung auf der zweiten Stufe sind auch die überdurchschnittlich hohen Lebenshaltungskosten in der Freien und Hansestadt Hamburg als Stadtstaat, insbesondere die Wohnkosten, zu betrachten. Durch die </w:t>
      </w:r>
      <w:r w:rsidRPr="00BC5499">
        <w:rPr>
          <w:rFonts w:ascii="Arial" w:hAnsi="Arial" w:hint="eastAsia"/>
        </w:rPr>
        <w:t>stark ansteigenden Lebenshaltungskosten im Stadtstaat sind auch die Anforderungen an das Alimentationsniveau erhöht</w:t>
      </w:r>
      <w:r>
        <w:rPr>
          <w:rFonts w:ascii="Arial" w:hAnsi="Arial"/>
        </w:rPr>
        <w:t xml:space="preserve"> </w:t>
      </w:r>
      <w:r w:rsidRPr="00BC5499">
        <w:rPr>
          <w:rFonts w:ascii="Arial" w:hAnsi="Arial" w:hint="eastAsia"/>
        </w:rPr>
        <w:t>(</w:t>
      </w:r>
      <w:r>
        <w:rPr>
          <w:rFonts w:ascii="Arial" w:hAnsi="Arial" w:hint="eastAsia"/>
        </w:rPr>
        <w:t>vgl. VG Hamburg, Beschl. v. 29. </w:t>
      </w:r>
      <w:r w:rsidRPr="00BC5499">
        <w:rPr>
          <w:rFonts w:ascii="Arial" w:hAnsi="Arial" w:hint="eastAsia"/>
        </w:rPr>
        <w:t>September 202</w:t>
      </w:r>
      <w:r>
        <w:rPr>
          <w:rFonts w:ascii="Arial" w:hAnsi="Arial" w:hint="eastAsia"/>
        </w:rPr>
        <w:t xml:space="preserve">0, 20 </w:t>
      </w:r>
      <w:r w:rsidRPr="00A07D71">
        <w:rPr>
          <w:rFonts w:ascii="Arial" w:hAnsi="Arial"/>
        </w:rPr>
        <w:t xml:space="preserve">K 7510/17, </w:t>
      </w:r>
      <w:proofErr w:type="spellStart"/>
      <w:r w:rsidRPr="00A07D71">
        <w:rPr>
          <w:rFonts w:ascii="Arial" w:hAnsi="Arial"/>
        </w:rPr>
        <w:t>juris</w:t>
      </w:r>
      <w:proofErr w:type="spellEnd"/>
      <w:r w:rsidRPr="00A07D71">
        <w:rPr>
          <w:rFonts w:ascii="Arial" w:hAnsi="Arial"/>
        </w:rPr>
        <w:t xml:space="preserve"> </w:t>
      </w:r>
      <w:proofErr w:type="spellStart"/>
      <w:r w:rsidRPr="00A07D71">
        <w:rPr>
          <w:rFonts w:ascii="Arial" w:hAnsi="Arial"/>
        </w:rPr>
        <w:t>Rn</w:t>
      </w:r>
      <w:proofErr w:type="spellEnd"/>
      <w:r w:rsidRPr="00A07D71">
        <w:rPr>
          <w:rFonts w:ascii="Arial" w:hAnsi="Arial"/>
        </w:rPr>
        <w:t>. 114). Außerdem sprechen die Einschnitte im Bereich des Beihilfe- und Versorgungsrechts, die das zum laufenden Lebensunterhalt verfügbare Einkommen</w:t>
      </w:r>
      <w:r w:rsidRPr="00A07D71">
        <w:rPr>
          <w:rFonts w:ascii="Arial" w:hAnsi="Arial" w:hint="eastAsia"/>
        </w:rPr>
        <w:t xml:space="preserve"> der </w:t>
      </w:r>
      <w:r>
        <w:rPr>
          <w:rFonts w:ascii="Arial" w:hAnsi="Arial"/>
        </w:rPr>
        <w:t>Richterinnen und Richter, Staatsanwältinnen und Staatsanwälte</w:t>
      </w:r>
      <w:r w:rsidRPr="00A07D71">
        <w:rPr>
          <w:rFonts w:ascii="Arial" w:hAnsi="Arial" w:hint="eastAsia"/>
        </w:rPr>
        <w:t xml:space="preserve"> zusätzlich gemindert </w:t>
      </w:r>
      <w:r w:rsidRPr="00A07D71">
        <w:rPr>
          <w:rFonts w:ascii="Arial" w:hAnsi="Arial"/>
        </w:rPr>
        <w:t>haben, für einen</w:t>
      </w:r>
      <w:r w:rsidRPr="00A07D71">
        <w:rPr>
          <w:rFonts w:ascii="Arial" w:hAnsi="Arial" w:hint="eastAsia"/>
        </w:rPr>
        <w:t xml:space="preserve"> Verstoß gegen das Gebot der Mindestalimentation</w:t>
      </w:r>
      <w:r>
        <w:rPr>
          <w:rFonts w:ascii="Arial" w:hAnsi="Arial"/>
        </w:rPr>
        <w:t xml:space="preserve"> (</w:t>
      </w:r>
      <w:r w:rsidRPr="00A07D71">
        <w:rPr>
          <w:rFonts w:ascii="Arial" w:hAnsi="Arial" w:hint="eastAsia"/>
        </w:rPr>
        <w:t>vgl. VG Hamburg, Beschl. v. 29. September 2020, 20 K</w:t>
      </w:r>
      <w:r w:rsidRPr="00A07D71">
        <w:rPr>
          <w:rFonts w:ascii="Arial" w:hAnsi="Arial"/>
        </w:rPr>
        <w:t xml:space="preserve"> </w:t>
      </w:r>
      <w:r>
        <w:rPr>
          <w:rFonts w:ascii="Arial" w:hAnsi="Arial"/>
        </w:rPr>
        <w:t xml:space="preserve">7517/17, </w:t>
      </w:r>
      <w:proofErr w:type="spellStart"/>
      <w:r>
        <w:rPr>
          <w:rFonts w:ascii="Arial" w:hAnsi="Arial"/>
        </w:rPr>
        <w:t>juris</w:t>
      </w:r>
      <w:proofErr w:type="spellEnd"/>
      <w:r>
        <w:rPr>
          <w:rFonts w:ascii="Arial" w:hAnsi="Arial"/>
        </w:rPr>
        <w:t xml:space="preserve">, </w:t>
      </w:r>
      <w:proofErr w:type="spellStart"/>
      <w:r>
        <w:rPr>
          <w:rFonts w:ascii="Arial" w:hAnsi="Arial"/>
        </w:rPr>
        <w:t>Rn</w:t>
      </w:r>
      <w:proofErr w:type="spellEnd"/>
      <w:r>
        <w:rPr>
          <w:rFonts w:ascii="Arial" w:hAnsi="Arial"/>
        </w:rPr>
        <w:t>. 117).</w:t>
      </w:r>
    </w:p>
    <w:p w:rsidR="00343E3B" w:rsidRDefault="00343E3B" w:rsidP="00343E3B">
      <w:pPr>
        <w:spacing w:after="120" w:line="360" w:lineRule="auto"/>
        <w:jc w:val="both"/>
        <w:rPr>
          <w:rFonts w:ascii="Arial" w:hAnsi="Arial"/>
        </w:rPr>
      </w:pPr>
    </w:p>
    <w:p w:rsidR="00343E3B" w:rsidRPr="002A0040" w:rsidRDefault="00343E3B" w:rsidP="00343E3B">
      <w:pPr>
        <w:spacing w:after="120" w:line="360" w:lineRule="auto"/>
        <w:jc w:val="both"/>
        <w:rPr>
          <w:rFonts w:ascii="Arial" w:hAnsi="Arial"/>
        </w:rPr>
      </w:pPr>
      <w:r w:rsidRPr="00CA5C02">
        <w:rPr>
          <w:rFonts w:ascii="Arial" w:hAnsi="Arial" w:hint="eastAsia"/>
        </w:rPr>
        <w:lastRenderedPageBreak/>
        <w:t xml:space="preserve">2. </w:t>
      </w:r>
      <w:r w:rsidR="00EB2037">
        <w:rPr>
          <w:rFonts w:ascii="Arial" w:hAnsi="Arial"/>
        </w:rPr>
        <w:br/>
      </w:r>
      <w:r w:rsidRPr="002A0040">
        <w:rPr>
          <w:rFonts w:ascii="Arial" w:hAnsi="Arial"/>
        </w:rPr>
        <w:t>Der Anspruch auf amtsangemessene Alimentation besteht auch für den gesamten Zeitraum, auf den ich meinen Antrag vom …</w:t>
      </w:r>
      <w:r>
        <w:rPr>
          <w:rFonts w:ascii="Arial" w:hAnsi="Arial"/>
        </w:rPr>
        <w:t>……</w:t>
      </w:r>
      <w:r w:rsidRPr="002A0040">
        <w:rPr>
          <w:rFonts w:ascii="Arial" w:hAnsi="Arial"/>
        </w:rPr>
        <w:t xml:space="preserve"> bezog</w:t>
      </w:r>
      <w:r>
        <w:rPr>
          <w:rFonts w:ascii="Arial" w:hAnsi="Arial"/>
        </w:rPr>
        <w:t>en habe, nämlich ab dem Jahr ………</w:t>
      </w:r>
    </w:p>
    <w:p w:rsidR="00343E3B" w:rsidRPr="002A0040" w:rsidRDefault="00343E3B" w:rsidP="00343E3B">
      <w:pPr>
        <w:spacing w:after="120" w:line="360" w:lineRule="auto"/>
        <w:jc w:val="both"/>
        <w:rPr>
          <w:rFonts w:ascii="Arial" w:hAnsi="Arial"/>
          <w:i/>
        </w:rPr>
      </w:pPr>
      <w:r w:rsidRPr="002A0040">
        <w:rPr>
          <w:rFonts w:ascii="Arial" w:hAnsi="Arial"/>
          <w:i/>
          <w:highlight w:val="yellow"/>
        </w:rPr>
        <w:t>Bitte passen Sie das Formular auf Ihre jeweilige Situation an</w:t>
      </w:r>
      <w:r>
        <w:rPr>
          <w:rFonts w:ascii="Arial" w:hAnsi="Arial"/>
          <w:i/>
          <w:highlight w:val="yellow"/>
        </w:rPr>
        <w:t xml:space="preserve"> und entfernen Sie insbesondere die farbig hinterlegten Textpassagen</w:t>
      </w:r>
      <w:r w:rsidRPr="002A0040">
        <w:rPr>
          <w:rFonts w:ascii="Arial" w:hAnsi="Arial"/>
          <w:i/>
          <w:highlight w:val="yellow"/>
        </w:rPr>
        <w:t>.</w:t>
      </w:r>
    </w:p>
    <w:p w:rsidR="00343E3B" w:rsidRPr="002A0040" w:rsidRDefault="00343E3B" w:rsidP="00343E3B">
      <w:pPr>
        <w:spacing w:after="120" w:line="360" w:lineRule="auto"/>
        <w:jc w:val="both"/>
        <w:rPr>
          <w:rFonts w:ascii="Arial" w:hAnsi="Arial"/>
          <w:i/>
        </w:rPr>
      </w:pPr>
      <w:r w:rsidRPr="007927D1">
        <w:rPr>
          <w:rFonts w:ascii="Arial" w:hAnsi="Arial"/>
          <w:i/>
          <w:highlight w:val="yellow"/>
        </w:rPr>
        <w:t xml:space="preserve">Option </w:t>
      </w:r>
      <w:r w:rsidRPr="007E6FC7">
        <w:rPr>
          <w:rFonts w:ascii="Arial" w:hAnsi="Arial"/>
          <w:i/>
          <w:highlight w:val="yellow"/>
        </w:rPr>
        <w:t>1 - Für die nach R besoldeten Personen, die bereits im Jahr 2010 oder zuvor einen Antrag gestellt hatten, und unmittelbar und unstreitig von der Gleichbehandlungszusage des Leiters des Personalamtes erfasst sind:</w:t>
      </w:r>
    </w:p>
    <w:p w:rsidR="00343E3B" w:rsidRPr="002A0040" w:rsidRDefault="00FC70CF" w:rsidP="00343E3B">
      <w:pPr>
        <w:spacing w:after="120" w:line="360" w:lineRule="auto"/>
        <w:jc w:val="both"/>
        <w:rPr>
          <w:rFonts w:ascii="Arial" w:hAnsi="Arial"/>
        </w:rPr>
      </w:pPr>
      <w:r>
        <w:rPr>
          <w:rFonts w:ascii="Arial" w:hAnsi="Arial"/>
        </w:rPr>
        <w:t>Soweit d</w:t>
      </w:r>
      <w:r w:rsidR="00343E3B" w:rsidRPr="002A0040">
        <w:rPr>
          <w:rFonts w:ascii="Arial" w:hAnsi="Arial"/>
        </w:rPr>
        <w:t xml:space="preserve">er Ablehnungsbescheid </w:t>
      </w:r>
      <w:r>
        <w:rPr>
          <w:rFonts w:ascii="Arial" w:hAnsi="Arial"/>
        </w:rPr>
        <w:t xml:space="preserve">den geltend gemachten Anspruch für die Jahre ab 2013 auch deshalb versagt, weil es an einem jeweiligen "haushaltsnahen" Antrag fehle, wird damit der besondere, unstreitige Sachverhalt nicht berücksichtigt. </w:t>
      </w:r>
      <w:r w:rsidR="00602214">
        <w:rPr>
          <w:rFonts w:ascii="Arial" w:hAnsi="Arial"/>
        </w:rPr>
        <w:t xml:space="preserve">Der seinerzeitige Leiter des Personalamtes hatte mit dem Vorsitzenden des Hamburgischen Richtervereins im Zusammenhang mit den Musterverfahren betreffend die R-Besoldung geklärt, dass es keiner weiteren Anträge bzw. Widersprüche bedürfte. Dies ist unstreitig, wie auch </w:t>
      </w:r>
      <w:r w:rsidR="00343E3B">
        <w:rPr>
          <w:rFonts w:ascii="Arial" w:hAnsi="Arial"/>
        </w:rPr>
        <w:t xml:space="preserve">der </w:t>
      </w:r>
      <w:r w:rsidR="00663BD2">
        <w:rPr>
          <w:rFonts w:ascii="Arial" w:hAnsi="Arial"/>
        </w:rPr>
        <w:t>Mitteilung des Senats an die Bürgerschaft (</w:t>
      </w:r>
      <w:r w:rsidR="00775369">
        <w:rPr>
          <w:rFonts w:ascii="Arial" w:hAnsi="Arial"/>
        </w:rPr>
        <w:t>Drucksache 22/3821</w:t>
      </w:r>
      <w:r w:rsidR="00663BD2">
        <w:rPr>
          <w:rFonts w:ascii="Arial" w:hAnsi="Arial"/>
        </w:rPr>
        <w:t>)</w:t>
      </w:r>
      <w:r w:rsidR="00602214">
        <w:rPr>
          <w:rFonts w:ascii="Arial" w:hAnsi="Arial"/>
        </w:rPr>
        <w:t xml:space="preserve"> zu entnehmen ist</w:t>
      </w:r>
      <w:r w:rsidR="00343E3B" w:rsidRPr="002A0040">
        <w:rPr>
          <w:rFonts w:ascii="Arial" w:hAnsi="Arial"/>
        </w:rPr>
        <w:t>, wonach man gegenüber d</w:t>
      </w:r>
      <w:r w:rsidR="00343E3B">
        <w:rPr>
          <w:rFonts w:ascii="Arial" w:hAnsi="Arial"/>
        </w:rPr>
        <w:t xml:space="preserve">en </w:t>
      </w:r>
      <w:r w:rsidR="00775369">
        <w:rPr>
          <w:rFonts w:ascii="Arial" w:hAnsi="Arial"/>
        </w:rPr>
        <w:t>457 Richterinnen und Richter</w:t>
      </w:r>
      <w:r w:rsidR="00343E3B">
        <w:rPr>
          <w:rFonts w:ascii="Arial" w:hAnsi="Arial"/>
        </w:rPr>
        <w:t xml:space="preserve">, die </w:t>
      </w:r>
      <w:r w:rsidR="00557D84">
        <w:rPr>
          <w:rFonts w:ascii="Arial" w:hAnsi="Arial"/>
        </w:rPr>
        <w:t>im Jahr 2008 und den Folgejahren auf Betreiben des Hamburgischen Richtervereins</w:t>
      </w:r>
      <w:r w:rsidR="00343E3B" w:rsidRPr="002A0040">
        <w:rPr>
          <w:rFonts w:ascii="Arial" w:hAnsi="Arial"/>
        </w:rPr>
        <w:t xml:space="preserve"> Anträge </w:t>
      </w:r>
      <w:r w:rsidR="00BC473B">
        <w:rPr>
          <w:rFonts w:ascii="Arial" w:hAnsi="Arial"/>
        </w:rPr>
        <w:t xml:space="preserve">auf die Gewährung </w:t>
      </w:r>
      <w:r w:rsidR="00551585">
        <w:rPr>
          <w:rFonts w:ascii="Arial" w:hAnsi="Arial"/>
        </w:rPr>
        <w:t>einer amtsangemessenen Besoldung</w:t>
      </w:r>
      <w:r w:rsidR="00063DBA">
        <w:rPr>
          <w:rFonts w:ascii="Arial" w:hAnsi="Arial"/>
        </w:rPr>
        <w:t xml:space="preserve"> </w:t>
      </w:r>
      <w:r w:rsidR="00343E3B" w:rsidRPr="002A0040">
        <w:rPr>
          <w:rFonts w:ascii="Arial" w:hAnsi="Arial"/>
        </w:rPr>
        <w:t xml:space="preserve">gestellt hatten, die Bindung an die Gleichbehandlungszusage des seinerzeitigen Leiters des Personalamtes aus dem Jahr 2010 anerkenne. </w:t>
      </w:r>
      <w:r w:rsidR="00A17DBA">
        <w:rPr>
          <w:rFonts w:ascii="Arial" w:hAnsi="Arial"/>
        </w:rPr>
        <w:t xml:space="preserve">Hierzu gehöre ich zweifellos. </w:t>
      </w:r>
      <w:r w:rsidR="00343E3B" w:rsidRPr="002A0040">
        <w:rPr>
          <w:rFonts w:ascii="Arial" w:hAnsi="Arial"/>
        </w:rPr>
        <w:t xml:space="preserve">Der Ablehnungsbescheid, der ausschließlich von Beamten spricht, geht auch im Übrigen nicht auf die Besonderheiten ein, die gegenüber den Betroffenen der R-Besoldung zu beachten wären, so dass es materiell insoweit an einer Regelung fehlt. </w:t>
      </w:r>
    </w:p>
    <w:p w:rsidR="00343E3B" w:rsidRPr="007E6FC7" w:rsidRDefault="00343E3B" w:rsidP="00343E3B">
      <w:pPr>
        <w:spacing w:after="120" w:line="360" w:lineRule="auto"/>
        <w:jc w:val="both"/>
        <w:rPr>
          <w:rFonts w:ascii="Arial" w:hAnsi="Arial"/>
          <w:i/>
        </w:rPr>
      </w:pPr>
      <w:r w:rsidRPr="007927D1">
        <w:rPr>
          <w:rFonts w:ascii="Arial" w:hAnsi="Arial"/>
          <w:i/>
          <w:highlight w:val="yellow"/>
        </w:rPr>
        <w:t xml:space="preserve">Option </w:t>
      </w:r>
      <w:r w:rsidRPr="007E6FC7">
        <w:rPr>
          <w:rFonts w:ascii="Arial" w:hAnsi="Arial"/>
          <w:i/>
          <w:highlight w:val="yellow"/>
        </w:rPr>
        <w:t>2 - Für alle:</w:t>
      </w:r>
    </w:p>
    <w:p w:rsidR="00343E3B" w:rsidRPr="002A0040" w:rsidRDefault="00343E3B" w:rsidP="00343E3B">
      <w:pPr>
        <w:spacing w:after="120" w:line="360" w:lineRule="auto"/>
        <w:jc w:val="both"/>
        <w:rPr>
          <w:rFonts w:ascii="Arial" w:hAnsi="Arial"/>
        </w:rPr>
      </w:pPr>
      <w:r w:rsidRPr="002A0040">
        <w:rPr>
          <w:rFonts w:ascii="Arial" w:hAnsi="Arial"/>
        </w:rPr>
        <w:t>Der Umstand, dass von mir in den Jahren 2011 ff. keine gesonderten, ausdrücklichen Anträge auf amtsangemessene Alimentation gestellt worden sind, führt vorliegend nicht zu einem Entfall eines hierauf gerichteten Anspruchs.</w:t>
      </w:r>
    </w:p>
    <w:p w:rsidR="00343E3B" w:rsidRPr="002A0040" w:rsidRDefault="00343E3B" w:rsidP="00343E3B">
      <w:pPr>
        <w:spacing w:after="120" w:line="360" w:lineRule="auto"/>
        <w:jc w:val="both"/>
        <w:rPr>
          <w:rFonts w:ascii="Arial" w:hAnsi="Arial"/>
        </w:rPr>
      </w:pPr>
      <w:r w:rsidRPr="002A0040">
        <w:rPr>
          <w:rFonts w:ascii="Arial" w:hAnsi="Arial"/>
        </w:rPr>
        <w:t xml:space="preserve">Zwar ist nach der Rechtsprechung des Bundesverwaltungsgerichts grundsätzlich bei der Nachforderung von Bezügen für bereits vergangene Zeiträume zu beachten, dass der Beamte im Rahmen des gegenseitigen Treueverhältnisses Rücksicht auf berechtigte Belange des Dienstherrn nehmen muss. Dem liegt die Erwägung </w:t>
      </w:r>
      <w:r w:rsidRPr="002A0040">
        <w:rPr>
          <w:rFonts w:ascii="Arial" w:hAnsi="Arial"/>
        </w:rPr>
        <w:lastRenderedPageBreak/>
        <w:t xml:space="preserve">zugrunde, dass, da die Alimentation einen gegenwärtigen Bedarf decken solle, der Beamte nicht erwarten könne, Besoldungsleistungen für zurückliegende Haushaltsjahre zu bekommen, solange er sich mit der gesetzlichen Alimentation zufriedengegeben hat. Er müsse vielmehr eine zu niedrige Alimentation im Verlauf des jeweiligen Haushaltsjahres rügen und so den Dienstherrn auf haushaltsrelevante Mehrbelastungen aufmerksam machen (vgl. BVerwG, Urt. v. 28.6.2011, 2 C 40/10, </w:t>
      </w:r>
      <w:proofErr w:type="spellStart"/>
      <w:r w:rsidRPr="002A0040">
        <w:rPr>
          <w:rFonts w:ascii="Arial" w:hAnsi="Arial"/>
        </w:rPr>
        <w:t>juris</w:t>
      </w:r>
      <w:proofErr w:type="spellEnd"/>
      <w:r w:rsidRPr="002A0040">
        <w:rPr>
          <w:rFonts w:ascii="Arial" w:hAnsi="Arial"/>
        </w:rPr>
        <w:t xml:space="preserve"> </w:t>
      </w:r>
      <w:proofErr w:type="spellStart"/>
      <w:r w:rsidRPr="002A0040">
        <w:rPr>
          <w:rFonts w:ascii="Arial" w:hAnsi="Arial"/>
        </w:rPr>
        <w:t>Rn</w:t>
      </w:r>
      <w:proofErr w:type="spellEnd"/>
      <w:r w:rsidRPr="002A0040">
        <w:rPr>
          <w:rFonts w:ascii="Arial" w:hAnsi="Arial"/>
        </w:rPr>
        <w:t xml:space="preserve">. 6, </w:t>
      </w:r>
      <w:proofErr w:type="spellStart"/>
      <w:r w:rsidRPr="002A0040">
        <w:rPr>
          <w:rFonts w:ascii="Arial" w:hAnsi="Arial"/>
        </w:rPr>
        <w:t>m.w.N</w:t>
      </w:r>
      <w:proofErr w:type="spellEnd"/>
      <w:r w:rsidRPr="002A0040">
        <w:rPr>
          <w:rFonts w:ascii="Arial" w:hAnsi="Arial"/>
        </w:rPr>
        <w:t xml:space="preserve">.). </w:t>
      </w:r>
    </w:p>
    <w:p w:rsidR="00343E3B" w:rsidRPr="002A0040" w:rsidRDefault="00343E3B" w:rsidP="00343E3B">
      <w:pPr>
        <w:spacing w:after="120" w:line="360" w:lineRule="auto"/>
        <w:jc w:val="both"/>
        <w:rPr>
          <w:rFonts w:ascii="Arial" w:hAnsi="Arial"/>
        </w:rPr>
      </w:pPr>
      <w:r w:rsidRPr="002A0040">
        <w:rPr>
          <w:rFonts w:ascii="Arial" w:hAnsi="Arial"/>
        </w:rPr>
        <w:t>Im vorliegenden Zusammenhang bedurfte es eines solchen geso</w:t>
      </w:r>
      <w:r>
        <w:rPr>
          <w:rFonts w:ascii="Arial" w:hAnsi="Arial"/>
        </w:rPr>
        <w:t>nderten Hinweises an den Dienst</w:t>
      </w:r>
      <w:r w:rsidRPr="002A0040">
        <w:rPr>
          <w:rFonts w:ascii="Arial" w:hAnsi="Arial"/>
        </w:rPr>
        <w:t xml:space="preserve">herrn jedoch nicht. Diesem war vielmehr seit der ersten Welle von Anträgen bzw. Widersprüchen von Beziehern der R-Besoldung bekannt und bewusst, dass gerade in diesem Bereich die Besoldung von allen Betroffenen als nicht amtsangemessen angesehen wird. So war es das Personalamt selbst, das zur Vermeidung weiteren Verfahrensaufwandes dazu aufforderte, nicht noch weitere Anträge zu stellen. Der Leiter des Personalamtes hatte sich hierzu bekanntlich an den Richterverein als den Berufsverband gewendet, der die Bediensteten der R-Besoldungsordnung vertritt. </w:t>
      </w:r>
    </w:p>
    <w:p w:rsidR="00343E3B" w:rsidRPr="002A0040" w:rsidRDefault="00343E3B" w:rsidP="00343E3B">
      <w:pPr>
        <w:spacing w:after="120" w:line="360" w:lineRule="auto"/>
        <w:jc w:val="both"/>
        <w:rPr>
          <w:rFonts w:ascii="Arial" w:hAnsi="Arial"/>
        </w:rPr>
      </w:pPr>
      <w:r w:rsidRPr="002A0040">
        <w:rPr>
          <w:rFonts w:ascii="Arial" w:hAnsi="Arial"/>
        </w:rPr>
        <w:t>Dementsprechend ist im Bereich der R-Besoldung die Gleichbeh</w:t>
      </w:r>
      <w:r>
        <w:rPr>
          <w:rFonts w:ascii="Arial" w:hAnsi="Arial"/>
        </w:rPr>
        <w:t xml:space="preserve">andlungszusage in den </w:t>
      </w:r>
      <w:proofErr w:type="spellStart"/>
      <w:r>
        <w:rPr>
          <w:rFonts w:ascii="Arial" w:hAnsi="Arial"/>
        </w:rPr>
        <w:t>Bezügemit</w:t>
      </w:r>
      <w:r w:rsidRPr="002A0040">
        <w:rPr>
          <w:rFonts w:ascii="Arial" w:hAnsi="Arial"/>
        </w:rPr>
        <w:t>teilungen</w:t>
      </w:r>
      <w:proofErr w:type="spellEnd"/>
      <w:r w:rsidRPr="002A0040">
        <w:rPr>
          <w:rFonts w:ascii="Arial" w:hAnsi="Arial"/>
        </w:rPr>
        <w:t xml:space="preserve"> vom Dezember 2011 auch lediglich als Bestätigung (un</w:t>
      </w:r>
      <w:r>
        <w:rPr>
          <w:rFonts w:ascii="Arial" w:hAnsi="Arial"/>
        </w:rPr>
        <w:t>d Ausweitung auf sonstige Besol</w:t>
      </w:r>
      <w:r w:rsidRPr="002A0040">
        <w:rPr>
          <w:rFonts w:ascii="Arial" w:hAnsi="Arial"/>
        </w:rPr>
        <w:t>dungsordnungen) aufzufassen gewesen - und wurde allseits so aufgefasst, wie sich insbesondere auch in dem Ausbleiben neuer Antragswellen nach Ergehen der grundsätzlich die Kritik an der Amtsangemessenheit der Alimentation bestätigenden Entsche</w:t>
      </w:r>
      <w:r>
        <w:rPr>
          <w:rFonts w:ascii="Arial" w:hAnsi="Arial"/>
        </w:rPr>
        <w:t>idungen des Bundesverfassungsge</w:t>
      </w:r>
      <w:r w:rsidRPr="002A0040">
        <w:rPr>
          <w:rFonts w:ascii="Arial" w:hAnsi="Arial"/>
        </w:rPr>
        <w:t>richts im Jahr 2015 erweist.</w:t>
      </w:r>
      <w:r w:rsidR="00160BFC">
        <w:rPr>
          <w:rFonts w:ascii="Arial" w:hAnsi="Arial"/>
        </w:rPr>
        <w:t xml:space="preserve"> </w:t>
      </w:r>
      <w:r w:rsidR="00EF2457">
        <w:rPr>
          <w:rFonts w:ascii="Arial" w:hAnsi="Arial"/>
        </w:rPr>
        <w:t>Selbst wenn m</w:t>
      </w:r>
      <w:r w:rsidR="0052123A">
        <w:rPr>
          <w:rFonts w:ascii="Arial" w:hAnsi="Arial"/>
        </w:rPr>
        <w:t xml:space="preserve">an dies anders sehen wollte, hat der Senat </w:t>
      </w:r>
      <w:r w:rsidR="00EF2457">
        <w:rPr>
          <w:rFonts w:ascii="Arial" w:hAnsi="Arial"/>
        </w:rPr>
        <w:t>j</w:t>
      </w:r>
      <w:r w:rsidR="00160BFC">
        <w:rPr>
          <w:rFonts w:ascii="Arial" w:hAnsi="Arial"/>
        </w:rPr>
        <w:t xml:space="preserve">edenfalls </w:t>
      </w:r>
      <w:r w:rsidR="0052123A">
        <w:rPr>
          <w:rFonts w:ascii="Arial" w:hAnsi="Arial"/>
        </w:rPr>
        <w:t xml:space="preserve">aufgrund der </w:t>
      </w:r>
      <w:r w:rsidR="00160BFC">
        <w:rPr>
          <w:rFonts w:ascii="Arial" w:hAnsi="Arial"/>
        </w:rPr>
        <w:t xml:space="preserve">Gesamtschau der von dem damaligen Leiter des Personalamts am </w:t>
      </w:r>
      <w:r w:rsidR="00DF1F6E">
        <w:rPr>
          <w:rFonts w:ascii="Arial" w:hAnsi="Arial"/>
        </w:rPr>
        <w:t>05.11.</w:t>
      </w:r>
      <w:r w:rsidR="00EF2457">
        <w:rPr>
          <w:rFonts w:ascii="Arial" w:hAnsi="Arial"/>
        </w:rPr>
        <w:t>2010</w:t>
      </w:r>
      <w:r w:rsidR="00160BFC">
        <w:rPr>
          <w:rFonts w:ascii="Arial" w:hAnsi="Arial"/>
        </w:rPr>
        <w:t xml:space="preserve"> erfolgten Zusage, </w:t>
      </w:r>
      <w:r w:rsidR="008A58D3">
        <w:rPr>
          <w:rFonts w:ascii="Arial" w:hAnsi="Arial"/>
        </w:rPr>
        <w:t xml:space="preserve">wonach </w:t>
      </w:r>
      <w:r w:rsidR="00DF1F6E">
        <w:rPr>
          <w:rFonts w:ascii="Arial" w:hAnsi="Arial"/>
        </w:rPr>
        <w:t xml:space="preserve">die Verfahrensabsprache auch für die Folgejahre gelte und es einer jährlichen Fortschreibung der Anträge </w:t>
      </w:r>
      <w:r w:rsidR="0052123A">
        <w:rPr>
          <w:rFonts w:ascii="Arial" w:hAnsi="Arial"/>
        </w:rPr>
        <w:t>nicht bedürfe</w:t>
      </w:r>
      <w:r w:rsidR="00DF1F6E">
        <w:rPr>
          <w:rFonts w:ascii="Arial" w:hAnsi="Arial"/>
        </w:rPr>
        <w:t>,</w:t>
      </w:r>
      <w:r w:rsidR="008A58D3">
        <w:rPr>
          <w:rFonts w:ascii="Arial" w:hAnsi="Arial"/>
        </w:rPr>
        <w:t xml:space="preserve"> mit der Mitteilung in der </w:t>
      </w:r>
      <w:proofErr w:type="spellStart"/>
      <w:r w:rsidR="008A58D3">
        <w:rPr>
          <w:rFonts w:ascii="Arial" w:hAnsi="Arial"/>
        </w:rPr>
        <w:t>Bezüge</w:t>
      </w:r>
      <w:r w:rsidR="00DD007C">
        <w:rPr>
          <w:rFonts w:ascii="Arial" w:hAnsi="Arial"/>
        </w:rPr>
        <w:t>mitteilung</w:t>
      </w:r>
      <w:proofErr w:type="spellEnd"/>
      <w:r w:rsidR="00DD007C">
        <w:rPr>
          <w:rFonts w:ascii="Arial" w:hAnsi="Arial"/>
        </w:rPr>
        <w:t xml:space="preserve"> 12/2011, wonach die Anwendung der gerichtlichen Entscheidung auch ohne Antrag bzw. Rechtsbehelf erfolge</w:t>
      </w:r>
      <w:r w:rsidR="0052123A">
        <w:rPr>
          <w:rFonts w:ascii="Arial" w:hAnsi="Arial"/>
        </w:rPr>
        <w:t>,</w:t>
      </w:r>
      <w:r w:rsidR="008A58D3">
        <w:rPr>
          <w:rFonts w:ascii="Arial" w:hAnsi="Arial"/>
        </w:rPr>
        <w:t xml:space="preserve"> gegenüber den Angehörigen der R-Besoldung deutlich gemacht, dass es weder eines Erst- noch eines Folgeantrags bedarf. </w:t>
      </w:r>
    </w:p>
    <w:p w:rsidR="00343E3B" w:rsidRPr="002A0040" w:rsidRDefault="00343E3B" w:rsidP="00EF2457">
      <w:pPr>
        <w:spacing w:after="120" w:line="360" w:lineRule="auto"/>
        <w:jc w:val="both"/>
        <w:rPr>
          <w:rFonts w:ascii="Arial" w:hAnsi="Arial"/>
        </w:rPr>
      </w:pPr>
    </w:p>
    <w:p w:rsidR="00343E3B" w:rsidRPr="002A0040" w:rsidRDefault="00343E3B" w:rsidP="00343E3B">
      <w:pPr>
        <w:spacing w:after="120" w:line="360" w:lineRule="auto"/>
        <w:jc w:val="both"/>
        <w:rPr>
          <w:rFonts w:ascii="Arial" w:hAnsi="Arial"/>
        </w:rPr>
      </w:pPr>
      <w:r w:rsidRPr="002A0040">
        <w:rPr>
          <w:rFonts w:ascii="Arial" w:hAnsi="Arial"/>
        </w:rPr>
        <w:t xml:space="preserve">Zudem wird der Ansatz in dem Ausgangsbescheid, der Hinweis in den </w:t>
      </w:r>
      <w:proofErr w:type="spellStart"/>
      <w:r w:rsidRPr="002A0040">
        <w:rPr>
          <w:rFonts w:ascii="Arial" w:hAnsi="Arial"/>
        </w:rPr>
        <w:t>Bezügemitteilungen</w:t>
      </w:r>
      <w:proofErr w:type="spellEnd"/>
      <w:r w:rsidRPr="002A0040">
        <w:rPr>
          <w:rFonts w:ascii="Arial" w:hAnsi="Arial"/>
        </w:rPr>
        <w:t xml:space="preserve"> vom Dezember 2011 sei erkennbar auf die Besoldungssituation </w:t>
      </w:r>
      <w:r w:rsidRPr="002A0040">
        <w:rPr>
          <w:rFonts w:ascii="Arial" w:hAnsi="Arial"/>
        </w:rPr>
        <w:lastRenderedPageBreak/>
        <w:t>der Jahre 2011 und 2012 beschränkt gewesen, ohnehin nicht aufrechtzuerhalten sein. Der Dienstherr ha</w:t>
      </w:r>
      <w:r>
        <w:rPr>
          <w:rFonts w:ascii="Arial" w:hAnsi="Arial"/>
        </w:rPr>
        <w:t>t im Gegenteil auf die Gleichbe</w:t>
      </w:r>
      <w:r w:rsidRPr="002A0040">
        <w:rPr>
          <w:rFonts w:ascii="Arial" w:hAnsi="Arial"/>
        </w:rPr>
        <w:t>handlungszusage gestützt die "zukünftig Betroffenen" aufgefordert,</w:t>
      </w:r>
      <w:r>
        <w:rPr>
          <w:rFonts w:ascii="Arial" w:hAnsi="Arial"/>
        </w:rPr>
        <w:t xml:space="preserve"> keine weiteren Anträge zu stel</w:t>
      </w:r>
      <w:r w:rsidRPr="002A0040">
        <w:rPr>
          <w:rFonts w:ascii="Arial" w:hAnsi="Arial"/>
        </w:rPr>
        <w:t>len bzw. keinen Widerspruch einzulegen. So heißt es in dem Rundschreiben des Personalamtes vom 9.11.2011:</w:t>
      </w:r>
    </w:p>
    <w:p w:rsidR="00343E3B" w:rsidRPr="002A0040" w:rsidRDefault="00343E3B" w:rsidP="00343E3B">
      <w:pPr>
        <w:spacing w:after="120" w:line="360" w:lineRule="auto"/>
        <w:ind w:left="851"/>
        <w:jc w:val="both"/>
        <w:rPr>
          <w:rFonts w:ascii="Arial" w:hAnsi="Arial"/>
        </w:rPr>
      </w:pPr>
      <w:r w:rsidRPr="002A0040">
        <w:rPr>
          <w:rFonts w:ascii="Arial" w:hAnsi="Arial"/>
        </w:rPr>
        <w:t xml:space="preserve">"… bereits weit im Vorfeld der zum 1. Dezember wirksam werdenden Änderungen durch das Gesetz über die jährliche Sonderzahlung und die Besoldungs- und Versorgungsanpassung 2011/2012 wird von einer Vielzahl </w:t>
      </w:r>
      <w:proofErr w:type="gramStart"/>
      <w:r w:rsidRPr="002A0040">
        <w:rPr>
          <w:rFonts w:ascii="Arial" w:hAnsi="Arial"/>
        </w:rPr>
        <w:t>der davon zukünftig Betroffenen Widerspruch</w:t>
      </w:r>
      <w:proofErr w:type="gramEnd"/>
      <w:r w:rsidRPr="002A0040">
        <w:rPr>
          <w:rFonts w:ascii="Arial" w:hAnsi="Arial"/>
        </w:rPr>
        <w:t xml:space="preserve"> eingelegt.</w:t>
      </w:r>
    </w:p>
    <w:p w:rsidR="00343E3B" w:rsidRPr="002A0040" w:rsidRDefault="00343E3B" w:rsidP="00343E3B">
      <w:pPr>
        <w:spacing w:after="120" w:line="360" w:lineRule="auto"/>
        <w:ind w:left="851"/>
        <w:jc w:val="both"/>
        <w:rPr>
          <w:rFonts w:ascii="Arial" w:hAnsi="Arial"/>
        </w:rPr>
      </w:pPr>
      <w:r w:rsidRPr="002A0040">
        <w:rPr>
          <w:rFonts w:ascii="Arial" w:hAnsi="Arial"/>
        </w:rPr>
        <w:t>Das Personalamt weist darauf hin, dass es zur Wahrung et</w:t>
      </w:r>
      <w:r>
        <w:rPr>
          <w:rFonts w:ascii="Arial" w:hAnsi="Arial"/>
        </w:rPr>
        <w:t>waiger Ansprüche nicht erforder</w:t>
      </w:r>
      <w:r w:rsidRPr="002A0040">
        <w:rPr>
          <w:rFonts w:ascii="Arial" w:hAnsi="Arial"/>
        </w:rPr>
        <w:t>lich ist, Anträge zu stellen oder Widerspruch einzulegen. Die Bezüge- und Versorgungsmit</w:t>
      </w:r>
      <w:r>
        <w:rPr>
          <w:rFonts w:ascii="Arial" w:hAnsi="Arial"/>
        </w:rPr>
        <w:t>tei</w:t>
      </w:r>
      <w:r w:rsidRPr="002A0040">
        <w:rPr>
          <w:rFonts w:ascii="Arial" w:hAnsi="Arial"/>
        </w:rPr>
        <w:t>lungen für den Monat Dezember werden hierzu folgenden Hinweis enthalten:</w:t>
      </w:r>
    </w:p>
    <w:p w:rsidR="00343E3B" w:rsidRPr="00CA5C02" w:rsidRDefault="00343E3B" w:rsidP="00343E3B">
      <w:pPr>
        <w:spacing w:after="120" w:line="360" w:lineRule="auto"/>
        <w:ind w:left="1701"/>
        <w:jc w:val="both"/>
        <w:rPr>
          <w:rFonts w:ascii="Arial" w:hAnsi="Arial"/>
        </w:rPr>
      </w:pPr>
      <w:r w:rsidRPr="002A0040">
        <w:rPr>
          <w:rFonts w:ascii="Arial" w:hAnsi="Arial"/>
        </w:rPr>
        <w:t>„Wegen der Auswirkungen des Gesetzes auf die Bes</w:t>
      </w:r>
      <w:r>
        <w:rPr>
          <w:rFonts w:ascii="Arial" w:hAnsi="Arial"/>
        </w:rPr>
        <w:t>oldung werden die Spitzenorgani</w:t>
      </w:r>
      <w:r w:rsidRPr="002A0040">
        <w:rPr>
          <w:rFonts w:ascii="Arial" w:hAnsi="Arial"/>
        </w:rPr>
        <w:t>sationen der Gewerkschaften über ihre Mitglieder g</w:t>
      </w:r>
      <w:r>
        <w:rPr>
          <w:rFonts w:ascii="Arial" w:hAnsi="Arial"/>
        </w:rPr>
        <w:t>erichtliche Musterverfahren füh</w:t>
      </w:r>
      <w:r w:rsidRPr="002A0040">
        <w:rPr>
          <w:rFonts w:ascii="Arial" w:hAnsi="Arial"/>
        </w:rPr>
        <w:t xml:space="preserve">ren. Sollten die Klägerinnen und Kläger in diesen Musterverfahren obsiegen, wird die Freie und Hansestadt Hamburg in Vergleichsfällen </w:t>
      </w:r>
      <w:r>
        <w:rPr>
          <w:rFonts w:ascii="Arial" w:hAnsi="Arial"/>
        </w:rPr>
        <w:t>die endgültige gerichtliche Ent</w:t>
      </w:r>
      <w:r w:rsidRPr="002A0040">
        <w:rPr>
          <w:rFonts w:ascii="Arial" w:hAnsi="Arial"/>
        </w:rPr>
        <w:t>scheidung auf Sie als ebenfalls Betroffene bzw. Betroffenen anwenden und auf die Einrede der Verjährung verzichten. Insoweit</w:t>
      </w:r>
      <w:r w:rsidRPr="00CA5C02">
        <w:rPr>
          <w:rFonts w:ascii="Arial" w:hAnsi="Arial"/>
        </w:rPr>
        <w:t xml:space="preserve"> bedarf es keines Antrags und keines Rechtsbehelfs (Widerspruch, Klage) gegen die in diesem Gesetz festgelegte Höhe der Besoldung.“</w:t>
      </w:r>
    </w:p>
    <w:p w:rsidR="00343E3B" w:rsidRPr="00CA5C02" w:rsidRDefault="00343E3B" w:rsidP="00343E3B">
      <w:pPr>
        <w:spacing w:after="120" w:line="360" w:lineRule="auto"/>
        <w:jc w:val="both"/>
        <w:rPr>
          <w:rFonts w:ascii="Arial" w:hAnsi="Arial"/>
        </w:rPr>
      </w:pPr>
    </w:p>
    <w:p w:rsidR="00343E3B" w:rsidRPr="00CA5C02" w:rsidRDefault="00343E3B" w:rsidP="00343E3B">
      <w:pPr>
        <w:spacing w:after="120" w:line="360" w:lineRule="auto"/>
        <w:jc w:val="both"/>
        <w:rPr>
          <w:rFonts w:ascii="Arial" w:hAnsi="Arial"/>
        </w:rPr>
      </w:pPr>
      <w:r w:rsidRPr="00CA5C02">
        <w:rPr>
          <w:rFonts w:ascii="Arial" w:hAnsi="Arial"/>
        </w:rPr>
        <w:t xml:space="preserve">Entsprechend ist dem dann tatsächlich in die </w:t>
      </w:r>
      <w:proofErr w:type="spellStart"/>
      <w:r w:rsidRPr="00CA5C02">
        <w:rPr>
          <w:rFonts w:ascii="Arial" w:hAnsi="Arial"/>
        </w:rPr>
        <w:t>Bezügemitteilungen</w:t>
      </w:r>
      <w:proofErr w:type="spellEnd"/>
      <w:r w:rsidRPr="00CA5C02">
        <w:rPr>
          <w:rFonts w:ascii="Arial" w:hAnsi="Arial"/>
        </w:rPr>
        <w:t xml:space="preserve"> aufgenommenen Text</w:t>
      </w:r>
    </w:p>
    <w:p w:rsidR="00343E3B" w:rsidRPr="00CA5C02" w:rsidRDefault="00343E3B" w:rsidP="00343E3B">
      <w:pPr>
        <w:spacing w:after="120" w:line="360" w:lineRule="auto"/>
        <w:ind w:left="851"/>
        <w:jc w:val="both"/>
        <w:rPr>
          <w:rFonts w:ascii="Arial" w:hAnsi="Arial"/>
        </w:rPr>
      </w:pPr>
      <w:r w:rsidRPr="00CA5C02">
        <w:rPr>
          <w:rFonts w:ascii="Arial" w:hAnsi="Arial"/>
        </w:rPr>
        <w:t>"</w:t>
      </w:r>
      <w:r w:rsidRPr="00492D53">
        <w:rPr>
          <w:rFonts w:ascii="Arial" w:hAnsi="Arial"/>
          <w:b/>
        </w:rPr>
        <w:t>Wegen der Auswirkungen des Gesetzes</w:t>
      </w:r>
      <w:r w:rsidRPr="00CA5C02">
        <w:rPr>
          <w:rFonts w:ascii="Arial" w:hAnsi="Arial"/>
        </w:rPr>
        <w:t xml:space="preserve"> über die jährli</w:t>
      </w:r>
      <w:r>
        <w:rPr>
          <w:rFonts w:ascii="Arial" w:hAnsi="Arial"/>
        </w:rPr>
        <w:t>che Sonderzahlung und die Besol</w:t>
      </w:r>
      <w:r w:rsidRPr="00CA5C02">
        <w:rPr>
          <w:rFonts w:ascii="Arial" w:hAnsi="Arial"/>
        </w:rPr>
        <w:t>dungs- und Versorgungsanpassung 2011/2012 auf die Besol</w:t>
      </w:r>
      <w:r>
        <w:rPr>
          <w:rFonts w:ascii="Arial" w:hAnsi="Arial"/>
        </w:rPr>
        <w:t>dung werden die Spitzenorganisa</w:t>
      </w:r>
      <w:r w:rsidRPr="00CA5C02">
        <w:rPr>
          <w:rFonts w:ascii="Arial" w:hAnsi="Arial"/>
        </w:rPr>
        <w:t xml:space="preserve">tionen </w:t>
      </w:r>
      <w:r w:rsidRPr="00492D53">
        <w:rPr>
          <w:rFonts w:ascii="Arial" w:hAnsi="Arial"/>
          <w:b/>
        </w:rPr>
        <w:t>der Gewerkschaften über ihre Mitglieder gerichtliche Musterverfahren führen. Sollten die Klägerinnen und Kläger in diesen Musterverfahren obsiegen, wird die Freie und Hansestadt Hamburg in Vergleichsfällen die endgültige gerichtliche Entscheidung auf ebenfalls Betroffene anwenden und auf die Einrede der Verjährung verzichten.</w:t>
      </w:r>
      <w:r w:rsidRPr="00CA5C02">
        <w:rPr>
          <w:rFonts w:ascii="Arial" w:hAnsi="Arial"/>
        </w:rPr>
        <w:t xml:space="preserve"> Insoweit bedarf es keines Antrags und keines </w:t>
      </w:r>
      <w:r w:rsidRPr="00CA5C02">
        <w:rPr>
          <w:rFonts w:ascii="Arial" w:hAnsi="Arial"/>
        </w:rPr>
        <w:lastRenderedPageBreak/>
        <w:t>Rechtsbehelfs (Widerspruch, Klage) gegen die aufgrund dieses Gesetzes festgelegte Höhe der Besoldung."</w:t>
      </w:r>
    </w:p>
    <w:p w:rsidR="00343E3B" w:rsidRPr="00CA5C02" w:rsidRDefault="00343E3B" w:rsidP="00343E3B">
      <w:pPr>
        <w:spacing w:after="120" w:line="360" w:lineRule="auto"/>
        <w:jc w:val="both"/>
        <w:rPr>
          <w:rFonts w:ascii="Arial" w:hAnsi="Arial"/>
        </w:rPr>
      </w:pPr>
      <w:r w:rsidRPr="00CA5C02">
        <w:rPr>
          <w:rFonts w:ascii="Arial" w:hAnsi="Arial"/>
        </w:rPr>
        <w:t xml:space="preserve">nach dem </w:t>
      </w:r>
      <w:proofErr w:type="spellStart"/>
      <w:r w:rsidRPr="00CA5C02">
        <w:rPr>
          <w:rFonts w:ascii="Arial" w:hAnsi="Arial"/>
        </w:rPr>
        <w:t>verobjektivierten</w:t>
      </w:r>
      <w:proofErr w:type="spellEnd"/>
      <w:r w:rsidRPr="00CA5C02">
        <w:rPr>
          <w:rFonts w:ascii="Arial" w:hAnsi="Arial"/>
        </w:rPr>
        <w:t xml:space="preserve"> Empfängerhorizont die Bedeutung zu entnehmen, dass der Ausgang der Gerichtsverfahren abzuwarten sei, woraufhin etwaige günstige Ergebnisse auf die Angehörigen der entsprechenden Besoldungsordnungen bzw. Besoldungsg</w:t>
      </w:r>
      <w:r>
        <w:rPr>
          <w:rFonts w:ascii="Arial" w:hAnsi="Arial"/>
        </w:rPr>
        <w:t>ruppen angewendet würden. Entge</w:t>
      </w:r>
      <w:r w:rsidRPr="00CA5C02">
        <w:rPr>
          <w:rFonts w:ascii="Arial" w:hAnsi="Arial"/>
        </w:rPr>
        <w:t xml:space="preserve">gen der mit den </w:t>
      </w:r>
      <w:proofErr w:type="spellStart"/>
      <w:r w:rsidRPr="00CA5C02">
        <w:rPr>
          <w:rFonts w:ascii="Arial" w:hAnsi="Arial"/>
        </w:rPr>
        <w:t>Bezügemitteilungen</w:t>
      </w:r>
      <w:proofErr w:type="spellEnd"/>
      <w:r w:rsidRPr="00CA5C02">
        <w:rPr>
          <w:rFonts w:ascii="Arial" w:hAnsi="Arial"/>
        </w:rPr>
        <w:t xml:space="preserve"> vom Dezember 2020 nachträg</w:t>
      </w:r>
      <w:r>
        <w:rPr>
          <w:rFonts w:ascii="Arial" w:hAnsi="Arial"/>
        </w:rPr>
        <w:t>lich vorgebrachten Interpretati</w:t>
      </w:r>
      <w:r w:rsidRPr="00CA5C02">
        <w:rPr>
          <w:rFonts w:ascii="Arial" w:hAnsi="Arial"/>
        </w:rPr>
        <w:t>on, wonach eine Beschränkung der Gleichbehandlungszusage auf den Zeitraum 2011 und 2012 erkennbar gewesen sei, ergibt sich sowohl aus der Natur der Sa</w:t>
      </w:r>
      <w:r>
        <w:rPr>
          <w:rFonts w:ascii="Arial" w:hAnsi="Arial"/>
        </w:rPr>
        <w:t>che - in der Besoldungsgesetzge</w:t>
      </w:r>
      <w:r w:rsidRPr="00CA5C02">
        <w:rPr>
          <w:rFonts w:ascii="Arial" w:hAnsi="Arial"/>
        </w:rPr>
        <w:t xml:space="preserve">bung bauen im Hinblick auf die zentrale Bedeutung prozentualer </w:t>
      </w:r>
      <w:r>
        <w:rPr>
          <w:rFonts w:ascii="Arial" w:hAnsi="Arial"/>
        </w:rPr>
        <w:t>Steigerungen alle Erhöhungsrege</w:t>
      </w:r>
      <w:r w:rsidRPr="00CA5C02">
        <w:rPr>
          <w:rFonts w:ascii="Arial" w:hAnsi="Arial"/>
        </w:rPr>
        <w:t xml:space="preserve">lungen über die Jahre hinweg aufeinander auf - wie auch aus der Bezugnahme auf die endgültige gerichtliche Entscheidung, dass alle Folgejahre bis zu dem letzten Jahr, das von der gerichtlichen Entscheidung erfasst wird (die Vorlagebeschlüsse vom 29.9.2020 erfassen die Jahre bis 2019, vgl. 20 </w:t>
      </w:r>
      <w:r>
        <w:rPr>
          <w:rFonts w:ascii="Arial" w:hAnsi="Arial"/>
        </w:rPr>
        <w:t xml:space="preserve">K 7509/17), einbezogen werden. </w:t>
      </w:r>
    </w:p>
    <w:p w:rsidR="00343E3B" w:rsidRPr="00CA5C02" w:rsidRDefault="00343E3B" w:rsidP="00343E3B">
      <w:pPr>
        <w:spacing w:after="120" w:line="360" w:lineRule="auto"/>
        <w:jc w:val="both"/>
        <w:rPr>
          <w:rFonts w:ascii="Arial" w:hAnsi="Arial"/>
        </w:rPr>
      </w:pPr>
      <w:r w:rsidRPr="00CA5C02">
        <w:rPr>
          <w:rFonts w:ascii="Arial" w:hAnsi="Arial"/>
        </w:rPr>
        <w:t xml:space="preserve">Im Übrigen: </w:t>
      </w:r>
      <w:proofErr w:type="gramStart"/>
      <w:r w:rsidRPr="00CA5C02">
        <w:rPr>
          <w:rFonts w:ascii="Arial" w:hAnsi="Arial"/>
        </w:rPr>
        <w:t>Selbst</w:t>
      </w:r>
      <w:proofErr w:type="gramEnd"/>
      <w:r w:rsidRPr="00CA5C02">
        <w:rPr>
          <w:rFonts w:ascii="Arial" w:hAnsi="Arial"/>
        </w:rPr>
        <w:t xml:space="preserve"> wenn nach allgemeinen Maßstäben an einem f</w:t>
      </w:r>
      <w:r>
        <w:rPr>
          <w:rFonts w:ascii="Arial" w:hAnsi="Arial"/>
        </w:rPr>
        <w:t>ormalen Antragserfordernis fest</w:t>
      </w:r>
      <w:r w:rsidRPr="00CA5C02">
        <w:rPr>
          <w:rFonts w:ascii="Arial" w:hAnsi="Arial"/>
        </w:rPr>
        <w:t xml:space="preserve">zuhalten wäre, so wäre es hier dem Dienstherrn doch jedenfalls nach Treu und Glauben verwehrt, sich hierauf zu berufen. Allein so lässt sich der Widerspruch auflösen, den die Begründung in dem hier angegriffenen Bescheid aufwirft, wonach eine Wiedereinsetzung in den vorigen Stand (gemäß § 32 Abs. 1 </w:t>
      </w:r>
      <w:proofErr w:type="spellStart"/>
      <w:r w:rsidRPr="00CA5C02">
        <w:rPr>
          <w:rFonts w:ascii="Arial" w:hAnsi="Arial"/>
        </w:rPr>
        <w:t>HmbVwVfG</w:t>
      </w:r>
      <w:proofErr w:type="spellEnd"/>
      <w:r w:rsidRPr="00CA5C02">
        <w:rPr>
          <w:rFonts w:ascii="Arial" w:hAnsi="Arial"/>
        </w:rPr>
        <w:t xml:space="preserve">) damit abgelehnt wird, dass das Erfordernis einer haushaltsnahen </w:t>
      </w:r>
      <w:proofErr w:type="gramStart"/>
      <w:r w:rsidRPr="00CA5C02">
        <w:rPr>
          <w:rFonts w:ascii="Arial" w:hAnsi="Arial"/>
        </w:rPr>
        <w:t>Gel-</w:t>
      </w:r>
      <w:proofErr w:type="spellStart"/>
      <w:r w:rsidRPr="00CA5C02">
        <w:rPr>
          <w:rFonts w:ascii="Arial" w:hAnsi="Arial"/>
        </w:rPr>
        <w:t>tendmachung</w:t>
      </w:r>
      <w:proofErr w:type="spellEnd"/>
      <w:proofErr w:type="gramEnd"/>
      <w:r w:rsidRPr="00CA5C02">
        <w:rPr>
          <w:rFonts w:ascii="Arial" w:hAnsi="Arial"/>
        </w:rPr>
        <w:t xml:space="preserve"> sich wesentlich von einer (von der Vorschrift erfassten) gesetzlichen Frist dadurch unterscheide, dass die Frist nicht formal durch ein Gesetz bestim</w:t>
      </w:r>
      <w:r>
        <w:rPr>
          <w:rFonts w:ascii="Arial" w:hAnsi="Arial"/>
        </w:rPr>
        <w:t>mt sei, sondern sich aus den Be</w:t>
      </w:r>
      <w:r w:rsidRPr="00CA5C02">
        <w:rPr>
          <w:rFonts w:ascii="Arial" w:hAnsi="Arial"/>
        </w:rPr>
        <w:t>sonderheiten des Beamtenverhältnisses ergebe. Die maßgebli</w:t>
      </w:r>
      <w:r>
        <w:rPr>
          <w:rFonts w:ascii="Arial" w:hAnsi="Arial"/>
        </w:rPr>
        <w:t>che Besonderheit des Beamtenver</w:t>
      </w:r>
      <w:r w:rsidRPr="00CA5C02">
        <w:rPr>
          <w:rFonts w:ascii="Arial" w:hAnsi="Arial"/>
        </w:rPr>
        <w:t xml:space="preserve">hältnisses ist indes das Treueverhältnis - und dies ist ein gegenseitiges, d.h. auch von dem Dienstherrn zu beachtendes. Dem Vertrauen in die Treue, die Fairness des Dienstherrn ist hier bereits durch das anfängliche Berufen auf - vermeintliche - Feinheiten </w:t>
      </w:r>
      <w:r>
        <w:rPr>
          <w:rFonts w:ascii="Arial" w:hAnsi="Arial"/>
        </w:rPr>
        <w:t>von Gleichbehandlungszusagen er</w:t>
      </w:r>
      <w:r w:rsidRPr="00CA5C02">
        <w:rPr>
          <w:rFonts w:ascii="Arial" w:hAnsi="Arial"/>
        </w:rPr>
        <w:t>heblicher Schaden zugefügt worden. Es ist nun Aufgabe des Widers</w:t>
      </w:r>
      <w:r>
        <w:rPr>
          <w:rFonts w:ascii="Arial" w:hAnsi="Arial"/>
        </w:rPr>
        <w:t>pruchsverfahrens, dies zu korri</w:t>
      </w:r>
      <w:r w:rsidRPr="00CA5C02">
        <w:rPr>
          <w:rFonts w:ascii="Arial" w:hAnsi="Arial"/>
        </w:rPr>
        <w:t>gieren.</w:t>
      </w:r>
    </w:p>
    <w:p w:rsidR="00343E3B" w:rsidRPr="00CA5C02" w:rsidRDefault="00343E3B" w:rsidP="00343E3B">
      <w:pPr>
        <w:spacing w:after="120" w:line="360" w:lineRule="auto"/>
        <w:jc w:val="both"/>
        <w:rPr>
          <w:rFonts w:ascii="Arial" w:hAnsi="Arial"/>
        </w:rPr>
      </w:pPr>
    </w:p>
    <w:p w:rsidR="00343E3B" w:rsidRPr="00CA5C02" w:rsidRDefault="00343E3B" w:rsidP="00EB2037">
      <w:pPr>
        <w:keepNext/>
        <w:spacing w:after="120" w:line="360" w:lineRule="auto"/>
        <w:jc w:val="both"/>
        <w:rPr>
          <w:rFonts w:ascii="Arial" w:hAnsi="Arial"/>
        </w:rPr>
      </w:pPr>
      <w:r w:rsidRPr="00CA5C02">
        <w:rPr>
          <w:rFonts w:ascii="Arial" w:hAnsi="Arial"/>
        </w:rPr>
        <w:lastRenderedPageBreak/>
        <w:t xml:space="preserve">3. </w:t>
      </w:r>
      <w:r w:rsidR="00EB2037">
        <w:rPr>
          <w:rFonts w:ascii="Arial" w:hAnsi="Arial"/>
        </w:rPr>
        <w:br/>
      </w:r>
      <w:r w:rsidRPr="00CA5C02">
        <w:rPr>
          <w:rFonts w:ascii="Arial" w:hAnsi="Arial"/>
        </w:rPr>
        <w:t>Zum Verfahren beantrage ich</w:t>
      </w:r>
      <w:r>
        <w:rPr>
          <w:rFonts w:ascii="Arial" w:hAnsi="Arial"/>
        </w:rPr>
        <w:t>,</w:t>
      </w:r>
    </w:p>
    <w:p w:rsidR="00343E3B" w:rsidRPr="00CA5C02" w:rsidRDefault="00343E3B" w:rsidP="00343E3B">
      <w:pPr>
        <w:spacing w:after="120" w:line="360" w:lineRule="auto"/>
        <w:ind w:left="851"/>
        <w:jc w:val="both"/>
        <w:rPr>
          <w:rFonts w:ascii="Arial" w:hAnsi="Arial"/>
        </w:rPr>
      </w:pPr>
      <w:r w:rsidRPr="00CA5C02">
        <w:rPr>
          <w:rFonts w:ascii="Arial" w:hAnsi="Arial"/>
        </w:rPr>
        <w:t>das Widerspruchsverfahren bis zu einer Entscheidung ü</w:t>
      </w:r>
      <w:r>
        <w:rPr>
          <w:rFonts w:ascii="Arial" w:hAnsi="Arial"/>
        </w:rPr>
        <w:t>ber die anhängigen gerichtlichen Musterverfah</w:t>
      </w:r>
      <w:r w:rsidRPr="00CA5C02">
        <w:rPr>
          <w:rFonts w:ascii="Arial" w:hAnsi="Arial"/>
        </w:rPr>
        <w:t>ren zur Richterbesoldung in Hamburg auszusetzen sowie eine Erklärung dahin abzugeben, dass auf die Einrede der Verjährung verzichtet wird.</w:t>
      </w:r>
    </w:p>
    <w:p w:rsidR="00343E3B" w:rsidRPr="00CA5C02" w:rsidRDefault="00343E3B" w:rsidP="00343E3B">
      <w:pPr>
        <w:spacing w:after="120" w:line="360" w:lineRule="auto"/>
        <w:jc w:val="both"/>
        <w:rPr>
          <w:rFonts w:ascii="Arial" w:hAnsi="Arial"/>
        </w:rPr>
      </w:pPr>
      <w:r w:rsidRPr="00CA5C02">
        <w:rPr>
          <w:rFonts w:ascii="Arial" w:hAnsi="Arial"/>
        </w:rPr>
        <w:t xml:space="preserve">Die Entscheidung über die Aussetzung hat nach pflichtgemäßem Ermessen zu erfolgen. Dabei ist zu würdigen: Bereits im Ausgangsverfahren hat sich gezeigt, dass der Dienstherr die Anträge keiner differenzierten Überprüfung unterzieht, sondern nur der Form nach mit einem Einheitsschreiben bescheidet, um die Antragsteller in eine nächste Verfahrensstufe zu zwingen, für die sogleich ein Kostenrisiko angedroht wird. Dies ist wiederum ein Umgang mit </w:t>
      </w:r>
      <w:r>
        <w:rPr>
          <w:rFonts w:ascii="Arial" w:hAnsi="Arial"/>
        </w:rPr>
        <w:t>den Bediensteten, der dem gegen</w:t>
      </w:r>
      <w:r w:rsidRPr="00CA5C02">
        <w:rPr>
          <w:rFonts w:ascii="Arial" w:hAnsi="Arial"/>
        </w:rPr>
        <w:t>seitigen Treueverhältnis weder materiell noch dem Verfahren nach ansatzweise gerecht wird. Wenn der Besoldungsgesetzgeber auf eine entsprechende Entsc</w:t>
      </w:r>
      <w:r>
        <w:rPr>
          <w:rFonts w:ascii="Arial" w:hAnsi="Arial"/>
        </w:rPr>
        <w:t>heidung des Bundesverfassungsge</w:t>
      </w:r>
      <w:r w:rsidRPr="00CA5C02">
        <w:rPr>
          <w:rFonts w:ascii="Arial" w:hAnsi="Arial"/>
        </w:rPr>
        <w:t>richts hin die Besoldungsordnung nachzubessern hat, dann aus G</w:t>
      </w:r>
      <w:r>
        <w:rPr>
          <w:rFonts w:ascii="Arial" w:hAnsi="Arial"/>
        </w:rPr>
        <w:t>ründen, die bei allen Bedienste</w:t>
      </w:r>
      <w:r w:rsidRPr="00CA5C02">
        <w:rPr>
          <w:rFonts w:ascii="Arial" w:hAnsi="Arial"/>
        </w:rPr>
        <w:t>ten vorliegen, so dass eine Gleichbehandlung angezeigt wäre. Im Verfahren alle Betroffenen (durch eine anhaltende Versagung einer Verfahrensaussetzung und Gleichbehandlungszusage) jeweils in eine Klage bei dem Verwaltungsgericht zu zwingen, würde im gerichtlichen Verfahren die Frage aufwerfen, ob jedes einzelne Verfahren dem Bundesverfassungsgericht vorzulegen wäre. Diese Frage würde allseits ohne jeglichen Zweifel verneint werden - es gibt keinen seriösen Grund, diese Wertung nicht bereits auf der Stufe des Vorverfahrens zur Geltung zu bringen.</w:t>
      </w:r>
    </w:p>
    <w:p w:rsidR="00343E3B" w:rsidRDefault="00343E3B" w:rsidP="00343E3B">
      <w:pPr>
        <w:spacing w:after="120" w:line="360" w:lineRule="auto"/>
        <w:jc w:val="both"/>
        <w:rPr>
          <w:rFonts w:ascii="Arial" w:hAnsi="Arial"/>
        </w:rPr>
      </w:pPr>
    </w:p>
    <w:p w:rsidR="00343E3B" w:rsidRDefault="00343E3B" w:rsidP="00343E3B">
      <w:pPr>
        <w:spacing w:after="120" w:line="360" w:lineRule="auto"/>
        <w:jc w:val="both"/>
        <w:rPr>
          <w:rFonts w:ascii="Arial" w:hAnsi="Arial"/>
        </w:rPr>
      </w:pPr>
      <w:r>
        <w:rPr>
          <w:rFonts w:ascii="Arial" w:hAnsi="Arial"/>
        </w:rPr>
        <w:t>Mit freundlichen Grüßen</w:t>
      </w:r>
    </w:p>
    <w:p w:rsidR="00343E3B" w:rsidRDefault="00343E3B" w:rsidP="00343E3B">
      <w:pPr>
        <w:spacing w:after="120" w:line="360" w:lineRule="auto"/>
        <w:jc w:val="both"/>
        <w:rPr>
          <w:rFonts w:ascii="Arial" w:hAnsi="Arial"/>
        </w:rPr>
      </w:pPr>
    </w:p>
    <w:p w:rsidR="00343E3B" w:rsidRDefault="00343E3B" w:rsidP="00343E3B">
      <w:pPr>
        <w:spacing w:after="120"/>
        <w:jc w:val="both"/>
        <w:rPr>
          <w:rFonts w:ascii="Arial" w:hAnsi="Arial"/>
        </w:rPr>
      </w:pPr>
      <w:r>
        <w:rPr>
          <w:rFonts w:ascii="Arial" w:hAnsi="Arial"/>
        </w:rPr>
        <w:t>……………………………..</w:t>
      </w:r>
    </w:p>
    <w:p w:rsidR="00132A0C" w:rsidRPr="00343E3B" w:rsidRDefault="00343E3B" w:rsidP="00343E3B">
      <w:pPr>
        <w:spacing w:after="120"/>
        <w:jc w:val="both"/>
        <w:rPr>
          <w:rFonts w:ascii="Arial" w:hAnsi="Arial"/>
        </w:rPr>
      </w:pPr>
      <w:r>
        <w:rPr>
          <w:rFonts w:ascii="Arial" w:hAnsi="Arial"/>
        </w:rPr>
        <w:t>Unterschrift</w:t>
      </w:r>
    </w:p>
    <w:sectPr w:rsidR="00132A0C" w:rsidRPr="00343E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3B"/>
    <w:rsid w:val="00063DBA"/>
    <w:rsid w:val="001213FC"/>
    <w:rsid w:val="00125FE6"/>
    <w:rsid w:val="00132A0C"/>
    <w:rsid w:val="00160BFC"/>
    <w:rsid w:val="002872F4"/>
    <w:rsid w:val="00343E3B"/>
    <w:rsid w:val="0052123A"/>
    <w:rsid w:val="00551585"/>
    <w:rsid w:val="00557D84"/>
    <w:rsid w:val="005C4EB7"/>
    <w:rsid w:val="005D4EBD"/>
    <w:rsid w:val="00602214"/>
    <w:rsid w:val="00630E54"/>
    <w:rsid w:val="006577BB"/>
    <w:rsid w:val="00663BD2"/>
    <w:rsid w:val="00775369"/>
    <w:rsid w:val="008A58D3"/>
    <w:rsid w:val="00A17DBA"/>
    <w:rsid w:val="00A85F8A"/>
    <w:rsid w:val="00BC473B"/>
    <w:rsid w:val="00DD007C"/>
    <w:rsid w:val="00DF1F6E"/>
    <w:rsid w:val="00E8059A"/>
    <w:rsid w:val="00EB1F56"/>
    <w:rsid w:val="00EB2037"/>
    <w:rsid w:val="00EB3FE5"/>
    <w:rsid w:val="00EF2457"/>
    <w:rsid w:val="00F65DCD"/>
    <w:rsid w:val="00FC70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6869"/>
  <w15:chartTrackingRefBased/>
  <w15:docId w15:val="{B88B2613-6EF1-4933-B7DA-E240ED23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43E3B"/>
    <w:pPr>
      <w:suppressAutoHyphens/>
      <w:autoSpaceDN w:val="0"/>
      <w:textAlignment w:val="baseline"/>
    </w:pPr>
    <w:rPr>
      <w:rFonts w:ascii="Liberation Serif" w:eastAsia="NSimSun" w:hAnsi="Liberation Serif"/>
      <w:kern w:val="3"/>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30E54"/>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630E54"/>
    <w:rPr>
      <w:rFonts w:ascii="Segoe UI" w:eastAsia="N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2188</Words>
  <Characters>13785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Freie und Hansestadt Hamburg</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Runzer, Vera</dc:creator>
  <cp:keywords/>
  <dc:description/>
  <cp:lastModifiedBy>Geffers, Nicole Dr.</cp:lastModifiedBy>
  <cp:revision>6</cp:revision>
  <cp:lastPrinted>2021-05-03T07:04:00Z</cp:lastPrinted>
  <dcterms:created xsi:type="dcterms:W3CDTF">2021-05-03T09:42:00Z</dcterms:created>
  <dcterms:modified xsi:type="dcterms:W3CDTF">2021-05-03T13:01:00Z</dcterms:modified>
</cp:coreProperties>
</file>